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3328402"/>
    <w:p w14:paraId="2AE112C6" w14:textId="733CBEFE" w:rsidR="00BB75B8" w:rsidRPr="00BB75B8" w:rsidRDefault="002859D1" w:rsidP="00C846FC">
      <w:pPr>
        <w:spacing w:before="40" w:after="160" w:line="278" w:lineRule="auto"/>
        <w:ind w:left="-2160"/>
        <w:jc w:val="left"/>
        <w:rPr>
          <w:rFonts w:ascii="Selawik" w:hAnsi="Selawik"/>
          <w:color w:val="595959"/>
          <w:kern w:val="20"/>
          <w:sz w:val="24"/>
          <w:szCs w:val="20"/>
          <w:lang w:eastAsia="ja-JP"/>
        </w:rPr>
      </w:pPr>
      <w:r w:rsidRPr="00BB75B8">
        <w:rPr>
          <w:rFonts w:ascii="Selawik" w:hAnsi="Selawik"/>
          <w:noProof/>
          <w:color w:val="595959"/>
          <w:kern w:val="20"/>
          <w:sz w:val="24"/>
          <w:szCs w:val="20"/>
          <w:lang w:eastAsia="fr-FR"/>
        </w:rPr>
        <mc:AlternateContent>
          <mc:Choice Requires="wps">
            <w:drawing>
              <wp:anchor distT="0" distB="0" distL="114300" distR="114300" simplePos="0" relativeHeight="252121088" behindDoc="0" locked="0" layoutInCell="1" allowOverlap="1" wp14:anchorId="0C2E66A0" wp14:editId="3568AB6F">
                <wp:simplePos x="0" y="0"/>
                <wp:positionH relativeFrom="column">
                  <wp:posOffset>-32385</wp:posOffset>
                </wp:positionH>
                <wp:positionV relativeFrom="paragraph">
                  <wp:posOffset>-3175</wp:posOffset>
                </wp:positionV>
                <wp:extent cx="9525" cy="1724025"/>
                <wp:effectExtent l="0" t="0" r="28575" b="28575"/>
                <wp:wrapNone/>
                <wp:docPr id="461" name="Connecteur droi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724025"/>
                        </a:xfrm>
                        <a:prstGeom prst="line">
                          <a:avLst/>
                        </a:prstGeom>
                        <a:noFill/>
                        <a:ln w="19050" cap="flat" cmpd="sng" algn="ctr">
                          <a:solidFill>
                            <a:srgbClr val="2683C6">
                              <a:alpha val="7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7005BD" id="Connecteur droit 12"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5pt" to="-1.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xbFgIAAPADAAAOAAAAZHJzL2Uyb0RvYy54bWysU82O0zAQviPxDpbvbdI0zaZR09W2pVwQ&#10;Wwl4ANdxEkv+k+1tWiHehWfhyRg7bVnghsjBGc/PNzPfjFePZynQiVnHtarxbJpixBTVDVddjb98&#10;3k9KjJwnqiFCK1bjC3P4cf32zWowFct0r0XDLAIQ5arB1Lj33lRJ4mjPJHFTbZgCY6utJB6utksa&#10;SwZAlyLJ0rRIBm0bYzVlzoF2NxrxOuK3LaP+uW0d80jUGGrz8bTxPIYzWa9I1Vliek6vZZB/qEIS&#10;riDpHWpHPEEvlv8FJTm12unWT6mWiW5bTlnsAbqZpX9086knhsVegBxn7jS5/wdLP54OFvGmxnkx&#10;w0gRCUPaaqWAOfZiUWM19z++z7LYHTv7D86HPkEa+/u6nZXz3cO+mGzyZTnJ55v5ZJmXm8nsISs3&#10;i+zpqXiXfws8JzEqxieDcVVMHQYVxa06WHAKN2cONuQ4t1aGP7CEznFkl/vIQn4KyuUiW2BEwQD5&#10;8hQuY6ZbrLHOv2daoiDUWHAVCCUVOUEho+vNJaiV3nMhQE8qodAAqMt0AXtDCexmK4gHURpgy6kO&#10;IyI6WHrqbYR0WvAmhIdoZ7vjVlh0IrB4WVHOt8WYV5iejNqHFL5ruVf3SNJvOKG4HXH9GBJNIYRU&#10;knt4OILLGpcB6IYkVLCyuPrXFn9xGqSjbi6R6jgEWKuY9PoEwt6+voP8+qGufwIAAP//AwBQSwME&#10;FAAGAAgAAAAhAKru/WPfAAAABwEAAA8AAABkcnMvZG93bnJldi54bWxMjs1uwjAQhO+VeAdrK/WC&#10;gh1aaJXGQRVV1EP/VOgDmHhJIux1FBsIPH3NqZxGoxnNfPlisIYdsPetIwnpRABDqpxuqZbwuy6T&#10;J2A+KNLKOEIJJ/SwKEY3ucq0O9IPHlahZnGEfKYkNCF0Gee+atAqP3EdUsy2rrcqRNvXXPfqGMet&#10;4VMh5tyqluJDozpcNljtVnsrwbyfx8uPtH4rx9vuW3x+vT6Ici3l3e3w8gws4BD+y3DBj+hQRKaN&#10;25P2zEhIZmlsXhRYjJP7ObCNhOljKoAXOb/mL/4AAAD//wMAUEsBAi0AFAAGAAgAAAAhALaDOJL+&#10;AAAA4QEAABMAAAAAAAAAAAAAAAAAAAAAAFtDb250ZW50X1R5cGVzXS54bWxQSwECLQAUAAYACAAA&#10;ACEAOP0h/9YAAACUAQAACwAAAAAAAAAAAAAAAAAvAQAAX3JlbHMvLnJlbHNQSwECLQAUAAYACAAA&#10;ACEA2cEsWxYCAADwAwAADgAAAAAAAAAAAAAAAAAuAgAAZHJzL2Uyb0RvYy54bWxQSwECLQAUAAYA&#10;CAAAACEAqu79Y98AAAAHAQAADwAAAAAAAAAAAAAAAABwBAAAZHJzL2Rvd25yZXYueG1sUEsFBgAA&#10;AAAEAAQA8wAAAHwFAAAAAA==&#10;" strokecolor="#2683c6" strokeweight="1.5pt">
                <v:stroke opacity="46003f" joinstyle="miter"/>
              </v:line>
            </w:pict>
          </mc:Fallback>
        </mc:AlternateContent>
      </w:r>
    </w:p>
    <w:p w14:paraId="179A123E" w14:textId="180AD93D" w:rsidR="00BB75B8" w:rsidRPr="00BB75B8" w:rsidRDefault="00BB75B8" w:rsidP="00C846FC">
      <w:pPr>
        <w:spacing w:before="40" w:after="160" w:line="278" w:lineRule="auto"/>
        <w:ind w:left="-2160"/>
        <w:jc w:val="left"/>
        <w:rPr>
          <w:rFonts w:ascii="Selawik" w:hAnsi="Selawik"/>
          <w:color w:val="595959"/>
          <w:kern w:val="20"/>
          <w:sz w:val="24"/>
          <w:szCs w:val="20"/>
          <w:lang w:eastAsia="ja-JP"/>
        </w:rPr>
      </w:pPr>
    </w:p>
    <w:p w14:paraId="0CBAA5F9" w14:textId="10970AD7" w:rsidR="00BB75B8" w:rsidRPr="00BB75B8" w:rsidRDefault="00BB75B8" w:rsidP="00C846FC">
      <w:pPr>
        <w:spacing w:before="40" w:after="160" w:line="278" w:lineRule="auto"/>
        <w:ind w:left="-2160"/>
        <w:jc w:val="left"/>
        <w:rPr>
          <w:rFonts w:ascii="Selawik" w:hAnsi="Selawik"/>
          <w:color w:val="595959"/>
          <w:kern w:val="20"/>
          <w:sz w:val="24"/>
          <w:szCs w:val="20"/>
          <w:lang w:eastAsia="ja-JP"/>
        </w:rPr>
      </w:pPr>
    </w:p>
    <w:p w14:paraId="73718B17" w14:textId="0D794B93" w:rsidR="00071779" w:rsidRPr="00922E92" w:rsidRDefault="00071779" w:rsidP="0059170A">
      <w:pPr>
        <w:spacing w:line="278" w:lineRule="auto"/>
        <w:ind w:left="426"/>
        <w:jc w:val="center"/>
        <w:outlineLvl w:val="0"/>
        <w:rPr>
          <w:rFonts w:ascii="Selawik" w:eastAsia="Yu Gothic Light" w:hAnsi="Selawik"/>
          <w:b/>
          <w:bCs/>
          <w:caps/>
          <w:color w:val="1481AB"/>
          <w:kern w:val="20"/>
          <w:sz w:val="32"/>
          <w:szCs w:val="33"/>
          <w:u w:val="single"/>
          <w:lang w:eastAsia="ja-JP"/>
        </w:rPr>
      </w:pPr>
      <w:bookmarkStart w:id="1" w:name="_Toc54267785"/>
      <w:bookmarkStart w:id="2" w:name="_Toc54275145"/>
      <w:bookmarkStart w:id="3" w:name="_Toc84427672"/>
      <w:bookmarkStart w:id="4" w:name="_Toc84846353"/>
      <w:bookmarkStart w:id="5" w:name="_Toc86157610"/>
      <w:bookmarkStart w:id="6" w:name="_Toc99556082"/>
      <w:r w:rsidRPr="00922E92">
        <w:rPr>
          <w:rFonts w:ascii="Selawik" w:eastAsia="Yu Gothic Light" w:hAnsi="Selawik"/>
          <w:bCs/>
          <w:caps/>
          <w:color w:val="1481AB"/>
          <w:kern w:val="20"/>
          <w:sz w:val="32"/>
          <w:szCs w:val="33"/>
          <w:lang w:eastAsia="ja-JP"/>
        </w:rPr>
        <w:t>DOSSIER DE DÉCLARATION DE PROJET N°1 EMPORTANT MISE EN COMPATIBILITÉ DU PLAN LOCAL D’URBANISME (PLU)</w:t>
      </w:r>
      <w:bookmarkEnd w:id="1"/>
      <w:bookmarkEnd w:id="2"/>
      <w:bookmarkEnd w:id="3"/>
      <w:bookmarkEnd w:id="4"/>
      <w:bookmarkEnd w:id="5"/>
      <w:bookmarkEnd w:id="6"/>
    </w:p>
    <w:tbl>
      <w:tblPr>
        <w:tblpPr w:leftFromText="180" w:rightFromText="180" w:vertAnchor="text" w:horzAnchor="page" w:tblpX="651" w:tblpY="38"/>
        <w:tblW w:w="0" w:type="auto"/>
        <w:tblLook w:val="0600" w:firstRow="0" w:lastRow="0" w:firstColumn="0" w:lastColumn="0" w:noHBand="1" w:noVBand="1"/>
      </w:tblPr>
      <w:tblGrid>
        <w:gridCol w:w="964"/>
      </w:tblGrid>
      <w:tr w:rsidR="002859D1" w:rsidRPr="00BB75B8" w14:paraId="3E5E9122" w14:textId="77777777" w:rsidTr="002859D1">
        <w:trPr>
          <w:cantSplit/>
          <w:trHeight w:val="3402"/>
        </w:trPr>
        <w:tc>
          <w:tcPr>
            <w:tcW w:w="964" w:type="dxa"/>
            <w:textDirection w:val="btLr"/>
            <w:vAlign w:val="center"/>
          </w:tcPr>
          <w:p w14:paraId="39233D5A" w14:textId="250B2590" w:rsidR="002859D1" w:rsidRPr="00BB75B8" w:rsidRDefault="00456BB8" w:rsidP="00C846FC">
            <w:pPr>
              <w:spacing w:after="0" w:line="278" w:lineRule="auto"/>
              <w:jc w:val="left"/>
              <w:rPr>
                <w:rFonts w:ascii="Selawik" w:hAnsi="Selawik" w:cs="Gill Sans"/>
                <w:color w:val="2F3342"/>
                <w:spacing w:val="19"/>
                <w:sz w:val="18"/>
                <w:szCs w:val="18"/>
                <w:lang w:eastAsia="ja-JP"/>
              </w:rPr>
            </w:pPr>
            <w:r>
              <w:rPr>
                <w:rFonts w:ascii="Selawik" w:hAnsi="Selawik" w:cs="Gill Sans"/>
                <w:color w:val="2F3342"/>
                <w:spacing w:val="19"/>
                <w:sz w:val="18"/>
                <w:szCs w:val="18"/>
                <w:lang w:eastAsia="ja-JP"/>
              </w:rPr>
              <w:t xml:space="preserve">  </w:t>
            </w:r>
            <w:r w:rsidR="002859D1">
              <w:rPr>
                <w:rFonts w:ascii="Selawik" w:hAnsi="Selawik" w:cs="Gill Sans"/>
                <w:color w:val="2F3342"/>
                <w:spacing w:val="19"/>
                <w:sz w:val="18"/>
                <w:szCs w:val="18"/>
                <w:lang w:eastAsia="ja-JP"/>
              </w:rPr>
              <w:t xml:space="preserve">02 38 36 </w:t>
            </w:r>
            <w:r w:rsidR="00826A12">
              <w:rPr>
                <w:rFonts w:ascii="Selawik" w:hAnsi="Selawik" w:cs="Gill Sans"/>
                <w:color w:val="2F3342"/>
                <w:spacing w:val="19"/>
                <w:sz w:val="18"/>
                <w:szCs w:val="18"/>
                <w:lang w:eastAsia="ja-JP"/>
              </w:rPr>
              <w:t>20 08</w:t>
            </w:r>
          </w:p>
          <w:p w14:paraId="17F5738C" w14:textId="621A0459" w:rsidR="002859D1" w:rsidRPr="00BB75B8" w:rsidRDefault="002859D1" w:rsidP="00C846FC">
            <w:pPr>
              <w:spacing w:after="0" w:line="278" w:lineRule="auto"/>
              <w:jc w:val="left"/>
              <w:rPr>
                <w:rFonts w:ascii="Selawik" w:hAnsi="Selawik" w:cs="Gill Sans"/>
                <w:color w:val="2F3342"/>
                <w:spacing w:val="19"/>
                <w:sz w:val="18"/>
                <w:szCs w:val="18"/>
                <w:lang w:eastAsia="ja-JP"/>
              </w:rPr>
            </w:pPr>
            <w:r w:rsidRPr="00071779">
              <w:rPr>
                <w:rFonts w:ascii="Selawik" w:hAnsi="Selawik" w:cs="Gill Sans"/>
                <w:color w:val="0000FF"/>
                <w:spacing w:val="19"/>
                <w:sz w:val="18"/>
                <w:szCs w:val="18"/>
                <w:lang w:eastAsia="ja-JP"/>
              </w:rPr>
              <w:t xml:space="preserve"> </w:t>
            </w:r>
            <w:r>
              <w:t xml:space="preserve"> </w:t>
            </w:r>
            <w:hyperlink r:id="rId8" w:history="1">
              <w:r w:rsidR="00347BA8" w:rsidRPr="008606B4">
                <w:rPr>
                  <w:rStyle w:val="Lienhypertexte"/>
                </w:rPr>
                <w:t>accueil.mairie@sully45.com</w:t>
              </w:r>
            </w:hyperlink>
            <w:r w:rsidR="00347BA8">
              <w:t xml:space="preserve"> </w:t>
            </w:r>
          </w:p>
        </w:tc>
      </w:tr>
      <w:tr w:rsidR="002859D1" w:rsidRPr="00BB75B8" w14:paraId="13D4A0D6" w14:textId="77777777" w:rsidTr="002859D1">
        <w:trPr>
          <w:trHeight w:val="433"/>
        </w:trPr>
        <w:tc>
          <w:tcPr>
            <w:tcW w:w="964" w:type="dxa"/>
            <w:vAlign w:val="center"/>
          </w:tcPr>
          <w:p w14:paraId="4CF2A5EF" w14:textId="77777777" w:rsidR="002859D1" w:rsidRPr="00BB75B8" w:rsidRDefault="002859D1" w:rsidP="00C846FC">
            <w:pPr>
              <w:tabs>
                <w:tab w:val="center" w:pos="4680"/>
                <w:tab w:val="right" w:pos="9360"/>
              </w:tabs>
              <w:spacing w:after="0" w:line="278" w:lineRule="auto"/>
              <w:ind w:right="498"/>
              <w:jc w:val="center"/>
              <w:rPr>
                <w:rFonts w:ascii="Selawik" w:hAnsi="Selawik"/>
                <w:color w:val="595959"/>
                <w:kern w:val="20"/>
                <w:sz w:val="24"/>
                <w:szCs w:val="20"/>
                <w:lang w:eastAsia="ja-JP"/>
              </w:rPr>
            </w:pPr>
            <w:r w:rsidRPr="00BB75B8">
              <w:rPr>
                <w:rFonts w:ascii="Selawik" w:hAnsi="Selawik"/>
                <w:noProof/>
                <w:color w:val="595959"/>
                <w:kern w:val="20"/>
                <w:sz w:val="24"/>
                <w:szCs w:val="20"/>
                <w:lang w:eastAsia="fr-FR"/>
              </w:rPr>
              <w:drawing>
                <wp:inline distT="0" distB="0" distL="0" distR="0" wp14:anchorId="0D67637E" wp14:editId="0B858164">
                  <wp:extent cx="150709" cy="150944"/>
                  <wp:effectExtent l="0" t="0" r="1905" b="1905"/>
                  <wp:docPr id="238" name="Graphisme 10" descr="Smartphone" title="Icône Numéro de téléphone du présentateur">
                    <a:extLst xmlns:a="http://schemas.openxmlformats.org/drawingml/2006/main">
                      <a:ext uri="{FF2B5EF4-FFF2-40B4-BE49-F238E27FC236}">
                        <a16:creationId xmlns:a16="http://schemas.microsoft.com/office/drawing/2014/main" id="{5AE7BFEB-7DC8-4EFF-A908-02F9CA1E0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sme 10" descr="Smartphone" title="Icône Numéro de téléphone du présentateur">
                            <a:extLst>
                              <a:ext uri="{FF2B5EF4-FFF2-40B4-BE49-F238E27FC236}">
                                <a16:creationId xmlns:a16="http://schemas.microsoft.com/office/drawing/2014/main" id="{5AE7BFEB-7DC8-4EFF-A908-02F9CA1E098F}"/>
                              </a:ext>
                            </a:extLst>
                          </pic:cNvPr>
                          <pic:cNvPicPr>
                            <a:picLocks noChangeAspect="1"/>
                          </pic:cNvPicPr>
                        </pic:nvPicPr>
                        <pic:blipFill>
                          <a:blip r:embed="rId9" cstate="hqprint">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rot="5400000">
                            <a:off x="0" y="0"/>
                            <a:ext cx="150709" cy="150944"/>
                          </a:xfrm>
                          <a:prstGeom prst="rect">
                            <a:avLst/>
                          </a:prstGeom>
                        </pic:spPr>
                      </pic:pic>
                    </a:graphicData>
                  </a:graphic>
                </wp:inline>
              </w:drawing>
            </w:r>
          </w:p>
        </w:tc>
      </w:tr>
      <w:tr w:rsidR="002859D1" w:rsidRPr="00BB75B8" w14:paraId="0D7FD1CF" w14:textId="77777777" w:rsidTr="002859D1">
        <w:trPr>
          <w:cantSplit/>
          <w:trHeight w:val="3175"/>
        </w:trPr>
        <w:tc>
          <w:tcPr>
            <w:tcW w:w="964" w:type="dxa"/>
            <w:textDirection w:val="btLr"/>
            <w:vAlign w:val="center"/>
          </w:tcPr>
          <w:p w14:paraId="5F2AF181" w14:textId="77777777" w:rsidR="002859D1" w:rsidRPr="00BB75B8" w:rsidRDefault="002859D1" w:rsidP="00C846FC">
            <w:pPr>
              <w:spacing w:after="0" w:line="278" w:lineRule="auto"/>
              <w:ind w:left="113" w:right="498"/>
              <w:rPr>
                <w:rFonts w:ascii="Selawik" w:hAnsi="Selawik" w:cs="Gill Sans"/>
                <w:color w:val="2F3342"/>
                <w:spacing w:val="19"/>
                <w:sz w:val="18"/>
                <w:szCs w:val="18"/>
                <w:lang w:eastAsia="ja-JP"/>
              </w:rPr>
            </w:pPr>
            <w:r w:rsidRPr="002859D1">
              <w:rPr>
                <w:rFonts w:ascii="Selawik" w:hAnsi="Selawik" w:cs="Gill Sans"/>
                <w:color w:val="2F3342"/>
                <w:spacing w:val="19"/>
                <w:sz w:val="18"/>
                <w:szCs w:val="18"/>
                <w:lang w:eastAsia="ja-JP"/>
              </w:rPr>
              <w:t>3 Place Maurice de Sully 45600 Sully-sur-Loire</w:t>
            </w:r>
          </w:p>
        </w:tc>
      </w:tr>
      <w:tr w:rsidR="002859D1" w:rsidRPr="00BB75B8" w14:paraId="5F22D6F2" w14:textId="77777777" w:rsidTr="002859D1">
        <w:trPr>
          <w:trHeight w:val="532"/>
        </w:trPr>
        <w:tc>
          <w:tcPr>
            <w:tcW w:w="964" w:type="dxa"/>
            <w:vAlign w:val="center"/>
          </w:tcPr>
          <w:p w14:paraId="7BA0B3E8" w14:textId="77777777" w:rsidR="002859D1" w:rsidRPr="00BB75B8" w:rsidRDefault="002859D1" w:rsidP="00C846FC">
            <w:pPr>
              <w:tabs>
                <w:tab w:val="center" w:pos="4680"/>
                <w:tab w:val="right" w:pos="9360"/>
              </w:tabs>
              <w:spacing w:after="0" w:line="278" w:lineRule="auto"/>
              <w:ind w:right="498"/>
              <w:jc w:val="center"/>
              <w:rPr>
                <w:rFonts w:ascii="Selawik" w:hAnsi="Selawik"/>
                <w:caps/>
                <w:color w:val="595959"/>
                <w:kern w:val="20"/>
                <w:sz w:val="24"/>
                <w:szCs w:val="20"/>
                <w:lang w:eastAsia="ja-JP"/>
              </w:rPr>
            </w:pPr>
            <w:r w:rsidRPr="00BB75B8">
              <w:rPr>
                <w:rFonts w:ascii="Selawik" w:hAnsi="Selawik"/>
                <w:noProof/>
                <w:color w:val="595959"/>
                <w:kern w:val="20"/>
                <w:sz w:val="24"/>
                <w:szCs w:val="20"/>
                <w:lang w:eastAsia="fr-FR"/>
              </w:rPr>
              <w:drawing>
                <wp:inline distT="0" distB="0" distL="0" distR="0" wp14:anchorId="5AF47BD0" wp14:editId="1BC1986C">
                  <wp:extent cx="150667" cy="150944"/>
                  <wp:effectExtent l="0" t="0" r="1905" b="1905"/>
                  <wp:docPr id="239" name="Graphisme 8" descr="Télécopie">
                    <a:extLst xmlns:a="http://schemas.openxmlformats.org/drawingml/2006/main">
                      <a:ext uri="{FF2B5EF4-FFF2-40B4-BE49-F238E27FC236}">
                        <a16:creationId xmlns:a16="http://schemas.microsoft.com/office/drawing/2014/main" id="{843585A3-CB4F-4A6C-AEF7-05BE3D4F3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sme 8" descr="Télécopie">
                            <a:extLst>
                              <a:ext uri="{FF2B5EF4-FFF2-40B4-BE49-F238E27FC236}">
                                <a16:creationId xmlns:a16="http://schemas.microsoft.com/office/drawing/2014/main" id="{843585A3-CB4F-4A6C-AEF7-05BE3D4F34B0}"/>
                              </a:ext>
                            </a:extLst>
                          </pic:cNvPr>
                          <pic:cNvPicPr>
                            <a:picLocks noChangeAspect="1"/>
                          </pic:cNvPicPr>
                        </pic:nvPicPr>
                        <pic:blipFill>
                          <a:blip r:embed="rId11" cstate="hqprint">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rot="16200000">
                            <a:off x="0" y="0"/>
                            <a:ext cx="150667" cy="150944"/>
                          </a:xfrm>
                          <a:prstGeom prst="rect">
                            <a:avLst/>
                          </a:prstGeom>
                        </pic:spPr>
                      </pic:pic>
                    </a:graphicData>
                  </a:graphic>
                </wp:inline>
              </w:drawing>
            </w:r>
          </w:p>
        </w:tc>
      </w:tr>
      <w:tr w:rsidR="002859D1" w:rsidRPr="00BB75B8" w14:paraId="5DFA2681" w14:textId="77777777" w:rsidTr="002859D1">
        <w:trPr>
          <w:cantSplit/>
          <w:trHeight w:val="3005"/>
        </w:trPr>
        <w:tc>
          <w:tcPr>
            <w:tcW w:w="964" w:type="dxa"/>
            <w:textDirection w:val="btLr"/>
            <w:vAlign w:val="center"/>
          </w:tcPr>
          <w:p w14:paraId="569CF1EE" w14:textId="77777777" w:rsidR="002859D1" w:rsidRPr="00BB75B8" w:rsidRDefault="002859D1" w:rsidP="00C846FC">
            <w:pPr>
              <w:spacing w:after="0" w:line="278" w:lineRule="auto"/>
              <w:ind w:right="498"/>
              <w:jc w:val="center"/>
              <w:rPr>
                <w:rFonts w:ascii="Selawik" w:hAnsi="Selawik" w:cs="Gill Sans"/>
                <w:color w:val="2F3342"/>
                <w:spacing w:val="19"/>
                <w:sz w:val="17"/>
                <w:szCs w:val="17"/>
                <w:lang w:eastAsia="ja-JP"/>
              </w:rPr>
            </w:pPr>
            <w:r w:rsidRPr="002859D1">
              <w:rPr>
                <w:rFonts w:ascii="Selawik" w:hAnsi="Selawik" w:cs="Gill Sans"/>
                <w:color w:val="2F3342"/>
                <w:spacing w:val="19"/>
                <w:sz w:val="18"/>
                <w:szCs w:val="17"/>
                <w:lang w:eastAsia="ja-JP"/>
              </w:rPr>
              <w:t>Ville de Sully-sur-Loire</w:t>
            </w:r>
          </w:p>
        </w:tc>
      </w:tr>
      <w:tr w:rsidR="002859D1" w:rsidRPr="00BB75B8" w14:paraId="0F3C0A64" w14:textId="77777777" w:rsidTr="002859D1">
        <w:trPr>
          <w:trHeight w:val="726"/>
        </w:trPr>
        <w:tc>
          <w:tcPr>
            <w:tcW w:w="964" w:type="dxa"/>
            <w:vAlign w:val="center"/>
          </w:tcPr>
          <w:p w14:paraId="60A4040B" w14:textId="77777777" w:rsidR="002859D1" w:rsidRPr="00BB75B8" w:rsidRDefault="002859D1" w:rsidP="00C846FC">
            <w:pPr>
              <w:tabs>
                <w:tab w:val="center" w:pos="4680"/>
                <w:tab w:val="right" w:pos="9360"/>
              </w:tabs>
              <w:spacing w:after="0" w:line="278" w:lineRule="auto"/>
              <w:ind w:right="498"/>
              <w:jc w:val="center"/>
              <w:rPr>
                <w:rFonts w:ascii="Selawik" w:hAnsi="Selawik"/>
                <w:color w:val="595959"/>
                <w:kern w:val="20"/>
                <w:sz w:val="24"/>
                <w:szCs w:val="20"/>
                <w:lang w:eastAsia="ja-JP"/>
              </w:rPr>
            </w:pPr>
            <w:r w:rsidRPr="00BB75B8">
              <w:rPr>
                <w:rFonts w:ascii="Selawik" w:hAnsi="Selawik"/>
                <w:noProof/>
                <w:color w:val="595959"/>
                <w:kern w:val="20"/>
                <w:sz w:val="24"/>
                <w:szCs w:val="20"/>
                <w:lang w:eastAsia="fr-FR"/>
              </w:rPr>
              <w:drawing>
                <wp:inline distT="0" distB="0" distL="0" distR="0" wp14:anchorId="309E84F6" wp14:editId="6D011876">
                  <wp:extent cx="150709" cy="150944"/>
                  <wp:effectExtent l="0" t="0" r="1905" b="1905"/>
                  <wp:docPr id="240" name="Graphisme 7" descr="Utilisateur" title="Icône Nom du présentateur">
                    <a:extLst xmlns:a="http://schemas.openxmlformats.org/drawingml/2006/main">
                      <a:ext uri="{FF2B5EF4-FFF2-40B4-BE49-F238E27FC236}">
                        <a16:creationId xmlns:a16="http://schemas.microsoft.com/office/drawing/2014/main" id="{5A320BC1-9054-4BAF-A591-EA9FEE627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sme 7" descr="Utilisateur" title="Icône Nom du présentateur">
                            <a:extLst>
                              <a:ext uri="{FF2B5EF4-FFF2-40B4-BE49-F238E27FC236}">
                                <a16:creationId xmlns:a16="http://schemas.microsoft.com/office/drawing/2014/main" id="{5A320BC1-9054-4BAF-A591-EA9FEE62773D}"/>
                              </a:ext>
                            </a:extLst>
                          </pic:cNvPr>
                          <pic:cNvPicPr>
                            <a:picLocks noChangeAspect="1"/>
                          </pic:cNvPicPr>
                        </pic:nvPicPr>
                        <pic:blipFill>
                          <a:blip r:embed="rId13" cstate="hqprint">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rot="16200000">
                            <a:off x="0" y="0"/>
                            <a:ext cx="150709" cy="150944"/>
                          </a:xfrm>
                          <a:prstGeom prst="rect">
                            <a:avLst/>
                          </a:prstGeom>
                        </pic:spPr>
                      </pic:pic>
                    </a:graphicData>
                  </a:graphic>
                </wp:inline>
              </w:drawing>
            </w:r>
          </w:p>
        </w:tc>
      </w:tr>
    </w:tbl>
    <w:p w14:paraId="50B6C923" w14:textId="5AD1AD71" w:rsidR="00BB75B8" w:rsidRPr="00BB75B8" w:rsidRDefault="00BB75B8" w:rsidP="00C846FC">
      <w:pPr>
        <w:spacing w:after="240" w:line="278" w:lineRule="auto"/>
        <w:jc w:val="right"/>
        <w:outlineLvl w:val="0"/>
        <w:rPr>
          <w:rFonts w:ascii="Selawik" w:eastAsia="Yu Gothic Light" w:hAnsi="Selawik"/>
          <w:bCs/>
          <w:caps/>
          <w:color w:val="1481AB"/>
          <w:kern w:val="20"/>
          <w:sz w:val="48"/>
          <w:lang w:eastAsia="ja-JP"/>
        </w:rPr>
      </w:pPr>
      <w:r w:rsidRPr="00BB75B8">
        <w:rPr>
          <w:rFonts w:ascii="Selawik" w:eastAsia="Yu Gothic Light" w:hAnsi="Selawik"/>
          <w:bCs/>
          <w:caps/>
          <w:color w:val="1481AB"/>
          <w:kern w:val="20"/>
          <w:sz w:val="48"/>
          <w:lang w:eastAsia="ja-JP"/>
        </w:rPr>
        <w:t xml:space="preserve"> </w:t>
      </w:r>
    </w:p>
    <w:p w14:paraId="0F4F34C9" w14:textId="5046DEB3" w:rsidR="00BB75B8" w:rsidRPr="00412BF2" w:rsidRDefault="006F68CE" w:rsidP="007C5C54">
      <w:pPr>
        <w:spacing w:after="240" w:line="278" w:lineRule="auto"/>
        <w:jc w:val="center"/>
        <w:outlineLvl w:val="0"/>
        <w:rPr>
          <w:rFonts w:ascii="Selawik" w:eastAsia="Yu Gothic Light" w:hAnsi="Selawik"/>
          <w:b/>
          <w:caps/>
          <w:color w:val="1481AB"/>
          <w:kern w:val="20"/>
          <w:sz w:val="40"/>
          <w:szCs w:val="18"/>
          <w:lang w:eastAsia="ja-JP"/>
        </w:rPr>
      </w:pPr>
      <w:bookmarkStart w:id="7" w:name="_Toc54267786"/>
      <w:bookmarkStart w:id="8" w:name="_Toc54275146"/>
      <w:bookmarkStart w:id="9" w:name="_Toc84427673"/>
      <w:bookmarkStart w:id="10" w:name="_Toc84846354"/>
      <w:bookmarkStart w:id="11" w:name="_Toc86157611"/>
      <w:bookmarkStart w:id="12" w:name="_Toc99556083"/>
      <w:r>
        <w:rPr>
          <w:rFonts w:ascii="Selawik" w:eastAsia="Yu Gothic Light" w:hAnsi="Selawik"/>
          <w:b/>
          <w:caps/>
          <w:color w:val="1481AB"/>
          <w:kern w:val="20"/>
          <w:sz w:val="40"/>
          <w:szCs w:val="18"/>
          <w:lang w:eastAsia="ja-JP"/>
        </w:rPr>
        <w:t>Résume</w:t>
      </w:r>
      <w:r w:rsidR="00412BF2" w:rsidRPr="00412BF2">
        <w:rPr>
          <w:rFonts w:ascii="Selawik" w:eastAsia="Yu Gothic Light" w:hAnsi="Selawik"/>
          <w:b/>
          <w:caps/>
          <w:color w:val="1481AB"/>
          <w:kern w:val="20"/>
          <w:sz w:val="40"/>
          <w:szCs w:val="18"/>
          <w:lang w:eastAsia="ja-JP"/>
        </w:rPr>
        <w:t xml:space="preserve"> </w:t>
      </w:r>
      <w:r>
        <w:rPr>
          <w:rFonts w:ascii="Selawik" w:eastAsia="Yu Gothic Light" w:hAnsi="Selawik"/>
          <w:b/>
          <w:caps/>
          <w:color w:val="1481AB"/>
          <w:kern w:val="20"/>
          <w:sz w:val="40"/>
          <w:szCs w:val="18"/>
          <w:lang w:eastAsia="ja-JP"/>
        </w:rPr>
        <w:t xml:space="preserve">du </w:t>
      </w:r>
      <w:bookmarkEnd w:id="7"/>
      <w:bookmarkEnd w:id="8"/>
      <w:bookmarkEnd w:id="9"/>
      <w:bookmarkEnd w:id="10"/>
      <w:bookmarkEnd w:id="11"/>
      <w:bookmarkEnd w:id="12"/>
      <w:r w:rsidR="007C5C54">
        <w:rPr>
          <w:rFonts w:ascii="Selawik" w:eastAsia="Yu Gothic Light" w:hAnsi="Selawik"/>
          <w:b/>
          <w:caps/>
          <w:color w:val="1481AB"/>
          <w:kern w:val="20"/>
          <w:sz w:val="40"/>
          <w:szCs w:val="18"/>
          <w:lang w:eastAsia="ja-JP"/>
        </w:rPr>
        <w:t>PROJET</w:t>
      </w:r>
    </w:p>
    <w:p w14:paraId="03B8E3EE" w14:textId="7F319F3B" w:rsidR="00BB75B8" w:rsidRPr="00BB75B8" w:rsidRDefault="00BB75B8" w:rsidP="00C846FC">
      <w:pPr>
        <w:spacing w:after="0" w:line="278" w:lineRule="auto"/>
        <w:ind w:right="498"/>
        <w:jc w:val="left"/>
        <w:rPr>
          <w:rFonts w:ascii="Selawik" w:hAnsi="Selawik"/>
          <w:color w:val="595959"/>
          <w:kern w:val="20"/>
          <w:szCs w:val="20"/>
          <w:lang w:eastAsia="ja-JP"/>
        </w:rPr>
      </w:pPr>
    </w:p>
    <w:p w14:paraId="670CE0B3" w14:textId="38A23700" w:rsidR="00BB75B8" w:rsidRPr="00BB75B8" w:rsidRDefault="00BB75B8" w:rsidP="00C846FC">
      <w:pPr>
        <w:spacing w:before="40" w:after="160" w:line="278" w:lineRule="auto"/>
        <w:ind w:right="498"/>
        <w:jc w:val="right"/>
        <w:rPr>
          <w:rFonts w:ascii="Selawik" w:eastAsia="Yu Gothic Light" w:hAnsi="Selawik"/>
          <w:bCs/>
          <w:caps/>
          <w:color w:val="000000"/>
          <w:kern w:val="20"/>
          <w:sz w:val="40"/>
          <w:szCs w:val="18"/>
          <w:lang w:eastAsia="ja-JP"/>
        </w:rPr>
      </w:pPr>
      <w:r w:rsidRPr="00BB75B8">
        <w:rPr>
          <w:rFonts w:ascii="Selawik" w:eastAsia="Yu Gothic Light" w:hAnsi="Selawik"/>
          <w:bCs/>
          <w:caps/>
          <w:color w:val="000000"/>
          <w:kern w:val="20"/>
          <w:sz w:val="40"/>
          <w:szCs w:val="18"/>
          <w:lang w:eastAsia="ja-JP"/>
        </w:rPr>
        <w:t xml:space="preserve">Commune de </w:t>
      </w:r>
      <w:r w:rsidR="00CF3E8D">
        <w:rPr>
          <w:rFonts w:ascii="Selawik" w:eastAsia="Yu Gothic Light" w:hAnsi="Selawik"/>
          <w:bCs/>
          <w:caps/>
          <w:color w:val="000000"/>
          <w:kern w:val="20"/>
          <w:sz w:val="40"/>
          <w:szCs w:val="18"/>
          <w:lang w:eastAsia="ja-JP"/>
        </w:rPr>
        <w:t>Sully-sur-Loire</w:t>
      </w:r>
      <w:r w:rsidR="00071779">
        <w:rPr>
          <w:rFonts w:ascii="Selawik" w:eastAsia="Yu Gothic Light" w:hAnsi="Selawik"/>
          <w:bCs/>
          <w:caps/>
          <w:color w:val="000000"/>
          <w:kern w:val="20"/>
          <w:sz w:val="40"/>
          <w:szCs w:val="18"/>
          <w:lang w:eastAsia="ja-JP"/>
        </w:rPr>
        <w:t xml:space="preserve"> (</w:t>
      </w:r>
      <w:r w:rsidR="002859D1">
        <w:rPr>
          <w:rFonts w:ascii="Selawik" w:eastAsia="Yu Gothic Light" w:hAnsi="Selawik"/>
          <w:bCs/>
          <w:caps/>
          <w:color w:val="000000"/>
          <w:kern w:val="20"/>
          <w:sz w:val="40"/>
          <w:szCs w:val="18"/>
          <w:lang w:eastAsia="ja-JP"/>
        </w:rPr>
        <w:t>45600</w:t>
      </w:r>
      <w:r w:rsidR="00071779">
        <w:rPr>
          <w:rFonts w:ascii="Selawik" w:eastAsia="Yu Gothic Light" w:hAnsi="Selawik"/>
          <w:bCs/>
          <w:caps/>
          <w:color w:val="000000"/>
          <w:kern w:val="20"/>
          <w:sz w:val="40"/>
          <w:szCs w:val="18"/>
          <w:lang w:eastAsia="ja-JP"/>
        </w:rPr>
        <w:t>)</w:t>
      </w:r>
    </w:p>
    <w:p w14:paraId="7415188D" w14:textId="38F7B1ED" w:rsidR="00BB75B8" w:rsidRPr="00BB75B8" w:rsidRDefault="00EB6CE0" w:rsidP="00C846FC">
      <w:pPr>
        <w:spacing w:line="278" w:lineRule="auto"/>
        <w:rPr>
          <w:rFonts w:eastAsia="Yu Gothic Light" w:cs="Calibri Light"/>
          <w:color w:val="000000"/>
          <w:sz w:val="40"/>
          <w:szCs w:val="18"/>
          <w:lang w:eastAsia="ja-JP"/>
        </w:rPr>
      </w:pPr>
      <w:r w:rsidRPr="00BB75B8">
        <w:rPr>
          <w:noProof/>
          <w:lang w:eastAsia="fr-FR"/>
        </w:rPr>
        <mc:AlternateContent>
          <mc:Choice Requires="wps">
            <w:drawing>
              <wp:anchor distT="0" distB="0" distL="114300" distR="114300" simplePos="0" relativeHeight="252120064" behindDoc="0" locked="0" layoutInCell="1" allowOverlap="1" wp14:anchorId="1E1E3240" wp14:editId="5E144DAB">
                <wp:simplePos x="0" y="0"/>
                <wp:positionH relativeFrom="column">
                  <wp:posOffset>5303520</wp:posOffset>
                </wp:positionH>
                <wp:positionV relativeFrom="paragraph">
                  <wp:posOffset>33933</wp:posOffset>
                </wp:positionV>
                <wp:extent cx="666550" cy="565346"/>
                <wp:effectExtent l="0" t="0" r="0" b="6350"/>
                <wp:wrapNone/>
                <wp:docPr id="462" name="Ellips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550" cy="565346"/>
                        </a:xfrm>
                        <a:prstGeom prst="hexagon">
                          <a:avLst/>
                        </a:prstGeom>
                        <a:gradFill>
                          <a:gsLst>
                            <a:gs pos="0">
                              <a:srgbClr val="1CADE4">
                                <a:alpha val="20000"/>
                              </a:srgbClr>
                            </a:gs>
                            <a:gs pos="100000">
                              <a:srgbClr val="2683C6">
                                <a:alpha val="20000"/>
                              </a:srgbClr>
                            </a:gs>
                          </a:gsLst>
                          <a:lin ang="0" scaled="1"/>
                        </a:gradFill>
                        <a:ln w="6350">
                          <a:noFill/>
                          <a:prstDash val="sysDot"/>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2E094D5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Ellipse 11" o:spid="_x0000_s1026" type="#_x0000_t9" style="position:absolute;margin-left:417.6pt;margin-top:2.65pt;width:52.5pt;height:4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H6LAIAAF8EAAAOAAAAZHJzL2Uyb0RvYy54bWysVNuO0zAQfUfiH6y8t7k2m62arnrlBbEr&#10;LXyA6zgXybEtj2laIf6dsZOWFfAC4sUZ2+Mzc87MZPV06QU5cwOdkmUQz6OAcMlU1cmmDL58Ps6K&#10;gIClsqJCSV4GVw7B0/r9u9WglzxRrRIVNwRBJCwHXQattXoZhsBa3lOYK80lXtbK9NTi1jRhZeiA&#10;6L0IkyjKw0GZShvFOACe7sfLYO3x65oz+1zXwC0RZYC5Wb8av57cGq5XdNkYqtuOTWnQf8iip53E&#10;oHeoPbWUfDXdb1B9x4wCVds5U32o6rpj3HNANnH0C5vXlmruuaA4oO8ywf+DZZ/OL4Z0VRlkeRIQ&#10;SXss0kGITgMncew58Yv9CNaxQ2tk9W0XF+n+4ZjPttljMcvSbTp7zIrtLH5Iiu0i2WzyQ/bdqRv6&#10;V/59OGhY+oCuPN581S8GndwO0HQxLrXp3Re1IRdfqOu9UC4+w8M8zxcLLCfDq0W+SLN8CnV7rA3Y&#10;D1z1xBmoFr/QRo0VomdMZkzs5jUVrjp2QngbJr4NEK1Q7cjrAKY57YQhZ4rNFO82+0Pmz6nQLR1P&#10;sSUj31RIe3L3EjQw4o5wsfP6A2aSF+ku/xtMDNPckhWdJNSNHQoDjAqORY0nXbDD7+yEJANKmKKA&#10;LimpHG0/B06PPYV25AJX2Cs7AQjpfLmfqEm/n0Vz1klVV+wkY8VOjbNGJWsVjhqzxoM4L+ziUY9x&#10;4tyYvN2j/fa/sP4BAAD//wMAUEsDBBQABgAIAAAAIQAekhSa2wAAAAgBAAAPAAAAZHJzL2Rvd25y&#10;ZXYueG1sTI/NTsMwEITvSLyDtUjcqPND2xDiVKjQB2hB6nUTb5MI/0Sx24a3Z3uC245m9O1MtZmt&#10;EReawuCdgnSRgCDXej24TsHX5+6pABEiOo3GO1LwQwE29f1dhaX2V7enyyF2giEulKigj3EspQxt&#10;TxbDwo/k2Dv5yWJkOXVST3hluDUyS5KVtDg4/tDjSNue2u/D2SpYHuXK7N+bdF2g9WmxTXan7EOp&#10;x4f57RVEpDn+heFWn6tDzZ0af3Y6CKOgyJcZRxmWg2D/5Tlh3dyOHGRdyf8D6l8AAAD//wMAUEsB&#10;Ai0AFAAGAAgAAAAhALaDOJL+AAAA4QEAABMAAAAAAAAAAAAAAAAAAAAAAFtDb250ZW50X1R5cGVz&#10;XS54bWxQSwECLQAUAAYACAAAACEAOP0h/9YAAACUAQAACwAAAAAAAAAAAAAAAAAvAQAAX3JlbHMv&#10;LnJlbHNQSwECLQAUAAYACAAAACEAC51x+iwCAABfBAAADgAAAAAAAAAAAAAAAAAuAgAAZHJzL2Uy&#10;b0RvYy54bWxQSwECLQAUAAYACAAAACEAHpIUmtsAAAAIAQAADwAAAAAAAAAAAAAAAACGBAAAZHJz&#10;L2Rvd25yZXYueG1sUEsFBgAAAAAEAAQA8wAAAI4FAAAAAA==&#10;" adj="4580" fillcolor="#1cade4" stroked="f" strokeweight=".5pt">
                <v:fill opacity="13107f" color2="#2683c6" o:opacity2="13107f" angle="90" focus="100%" type="gradient"/>
                <v:stroke dashstyle="1 1"/>
              </v:shape>
            </w:pict>
          </mc:Fallback>
        </mc:AlternateContent>
      </w:r>
    </w:p>
    <w:p w14:paraId="685BDE25" w14:textId="1B59E7F3" w:rsidR="00BB75B8" w:rsidRPr="00BB75B8" w:rsidRDefault="00BB75B8" w:rsidP="00C846FC">
      <w:pPr>
        <w:spacing w:before="120" w:line="278" w:lineRule="auto"/>
        <w:ind w:left="993"/>
        <w:jc w:val="left"/>
        <w:rPr>
          <w:rFonts w:ascii="Selawik" w:eastAsia="Arial" w:hAnsi="Selawik" w:cs="Calibri Light"/>
          <w:color w:val="595959"/>
          <w:kern w:val="20"/>
          <w:sz w:val="24"/>
          <w:szCs w:val="20"/>
          <w:lang w:eastAsia="fr-FR"/>
        </w:rPr>
      </w:pPr>
      <w:r w:rsidRPr="00BB75B8">
        <w:rPr>
          <w:rFonts w:ascii="Selawik" w:eastAsia="Arial" w:hAnsi="Selawik" w:cs="Calibri Light"/>
          <w:color w:val="595959"/>
          <w:kern w:val="20"/>
          <w:sz w:val="24"/>
          <w:szCs w:val="20"/>
          <w:lang w:eastAsia="fr-FR"/>
        </w:rPr>
        <w:t xml:space="preserve">PLU approuvé par la délibération du </w:t>
      </w:r>
      <w:r w:rsidR="002A7FD8">
        <w:rPr>
          <w:rFonts w:ascii="Selawik" w:eastAsia="Arial" w:hAnsi="Selawik" w:cs="Calibri Light"/>
          <w:color w:val="595959"/>
          <w:kern w:val="20"/>
          <w:sz w:val="24"/>
          <w:szCs w:val="20"/>
          <w:lang w:eastAsia="fr-FR"/>
        </w:rPr>
        <w:t>21 décembre 2017</w:t>
      </w:r>
      <w:r w:rsidR="00412BF2">
        <w:rPr>
          <w:rFonts w:ascii="Selawik" w:eastAsia="Arial" w:hAnsi="Selawik" w:cs="Calibri Light"/>
          <w:color w:val="595959"/>
          <w:kern w:val="20"/>
          <w:sz w:val="24"/>
          <w:szCs w:val="20"/>
          <w:lang w:eastAsia="fr-FR"/>
        </w:rPr>
        <w:t xml:space="preserve"> </w:t>
      </w:r>
    </w:p>
    <w:tbl>
      <w:tblPr>
        <w:tblStyle w:val="Grilledutableau3"/>
        <w:tblpPr w:leftFromText="141" w:rightFromText="141" w:vertAnchor="text" w:horzAnchor="margin" w:tblpXSpec="right" w:tblpY="10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7"/>
        <w:gridCol w:w="1984"/>
        <w:gridCol w:w="2033"/>
        <w:gridCol w:w="2356"/>
      </w:tblGrid>
      <w:tr w:rsidR="00412BF2" w:rsidRPr="00BB75B8" w14:paraId="70A0C105" w14:textId="77777777" w:rsidTr="003C75EC">
        <w:trPr>
          <w:trHeight w:val="113"/>
        </w:trPr>
        <w:tc>
          <w:tcPr>
            <w:tcW w:w="2127" w:type="dxa"/>
          </w:tcPr>
          <w:p w14:paraId="1E358E75"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r w:rsidRPr="00BB75B8">
              <w:rPr>
                <w:rFonts w:ascii="Selawik" w:eastAsia="Arial" w:hAnsi="Selawik" w:cs="Calibri Light"/>
                <w:color w:val="595959"/>
                <w:kern w:val="20"/>
                <w:szCs w:val="16"/>
                <w:lang w:eastAsia="fr-FR"/>
              </w:rPr>
              <w:t>Révision générale</w:t>
            </w:r>
          </w:p>
        </w:tc>
        <w:tc>
          <w:tcPr>
            <w:tcW w:w="1984" w:type="dxa"/>
          </w:tcPr>
          <w:p w14:paraId="07A6EAEF"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r w:rsidRPr="00BB75B8">
              <w:rPr>
                <w:rFonts w:ascii="Selawik" w:eastAsia="Arial" w:hAnsi="Selawik" w:cs="Calibri Light"/>
                <w:color w:val="595959"/>
                <w:kern w:val="20"/>
                <w:szCs w:val="16"/>
                <w:lang w:eastAsia="fr-FR"/>
              </w:rPr>
              <w:t>Révision allégée</w:t>
            </w:r>
          </w:p>
        </w:tc>
        <w:tc>
          <w:tcPr>
            <w:tcW w:w="2033" w:type="dxa"/>
          </w:tcPr>
          <w:p w14:paraId="298F90CB"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r w:rsidRPr="00BB75B8">
              <w:rPr>
                <w:rFonts w:ascii="Selawik" w:eastAsia="Arial" w:hAnsi="Selawik" w:cs="Calibri Light"/>
                <w:color w:val="595959"/>
                <w:kern w:val="20"/>
                <w:szCs w:val="16"/>
                <w:lang w:eastAsia="fr-FR"/>
              </w:rPr>
              <w:t>Modification</w:t>
            </w:r>
          </w:p>
        </w:tc>
        <w:tc>
          <w:tcPr>
            <w:tcW w:w="2356" w:type="dxa"/>
          </w:tcPr>
          <w:p w14:paraId="03B2778B"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r w:rsidRPr="00BB75B8">
              <w:rPr>
                <w:rFonts w:ascii="Selawik" w:eastAsia="Arial" w:hAnsi="Selawik" w:cs="Calibri Light"/>
                <w:color w:val="595959"/>
                <w:kern w:val="20"/>
                <w:szCs w:val="16"/>
                <w:lang w:eastAsia="fr-FR"/>
              </w:rPr>
              <w:t>Modification simplifiée</w:t>
            </w:r>
          </w:p>
        </w:tc>
      </w:tr>
      <w:tr w:rsidR="00412BF2" w:rsidRPr="00BB75B8" w14:paraId="153A85F6" w14:textId="77777777" w:rsidTr="003C75EC">
        <w:trPr>
          <w:trHeight w:val="113"/>
        </w:trPr>
        <w:tc>
          <w:tcPr>
            <w:tcW w:w="2127" w:type="dxa"/>
          </w:tcPr>
          <w:p w14:paraId="6219DF7D"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p>
        </w:tc>
        <w:tc>
          <w:tcPr>
            <w:tcW w:w="1984" w:type="dxa"/>
          </w:tcPr>
          <w:p w14:paraId="159FB639" w14:textId="27D8BD6E" w:rsidR="00412BF2" w:rsidRPr="00BB75B8" w:rsidRDefault="004D5499" w:rsidP="004D5499">
            <w:pPr>
              <w:spacing w:before="120" w:line="278" w:lineRule="auto"/>
              <w:rPr>
                <w:rFonts w:ascii="Selawik" w:eastAsia="Arial" w:hAnsi="Selawik" w:cs="Calibri Light"/>
                <w:color w:val="595959"/>
                <w:kern w:val="20"/>
                <w:szCs w:val="16"/>
                <w:lang w:eastAsia="fr-FR"/>
              </w:rPr>
            </w:pPr>
            <w:r>
              <w:rPr>
                <w:rFonts w:ascii="Selawik" w:eastAsia="Arial" w:hAnsi="Selawik" w:cs="Calibri Light"/>
                <w:color w:val="595959"/>
                <w:kern w:val="20"/>
                <w:szCs w:val="16"/>
                <w:lang w:eastAsia="fr-FR"/>
              </w:rPr>
              <w:t>N°1 approuvée le 14 juin 2021</w:t>
            </w:r>
          </w:p>
        </w:tc>
        <w:tc>
          <w:tcPr>
            <w:tcW w:w="2033" w:type="dxa"/>
          </w:tcPr>
          <w:p w14:paraId="2B1E6D31"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p>
        </w:tc>
        <w:tc>
          <w:tcPr>
            <w:tcW w:w="2356" w:type="dxa"/>
          </w:tcPr>
          <w:p w14:paraId="494FCB64" w14:textId="2D861F7C" w:rsidR="00412BF2" w:rsidRPr="00BB75B8" w:rsidRDefault="004D5499" w:rsidP="004D5499">
            <w:pPr>
              <w:spacing w:before="120" w:line="278" w:lineRule="auto"/>
              <w:rPr>
                <w:rFonts w:ascii="Selawik" w:eastAsia="Arial" w:hAnsi="Selawik" w:cs="Calibri Light"/>
                <w:color w:val="595959"/>
                <w:kern w:val="20"/>
                <w:szCs w:val="16"/>
                <w:lang w:eastAsia="fr-FR"/>
              </w:rPr>
            </w:pPr>
            <w:r>
              <w:rPr>
                <w:rFonts w:ascii="Selawik" w:eastAsia="Arial" w:hAnsi="Selawik" w:cs="Calibri Light"/>
                <w:color w:val="595959"/>
                <w:kern w:val="20"/>
                <w:szCs w:val="16"/>
                <w:lang w:eastAsia="fr-FR"/>
              </w:rPr>
              <w:t>N°1 approuvée le 18 juillet 2019</w:t>
            </w:r>
          </w:p>
        </w:tc>
      </w:tr>
      <w:tr w:rsidR="00412BF2" w:rsidRPr="00BB75B8" w14:paraId="71041FC2" w14:textId="77777777" w:rsidTr="003C75EC">
        <w:trPr>
          <w:trHeight w:val="113"/>
        </w:trPr>
        <w:tc>
          <w:tcPr>
            <w:tcW w:w="2127" w:type="dxa"/>
          </w:tcPr>
          <w:p w14:paraId="0131DE8D"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p>
        </w:tc>
        <w:tc>
          <w:tcPr>
            <w:tcW w:w="1984" w:type="dxa"/>
          </w:tcPr>
          <w:p w14:paraId="713372D4"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p>
        </w:tc>
        <w:tc>
          <w:tcPr>
            <w:tcW w:w="2033" w:type="dxa"/>
          </w:tcPr>
          <w:p w14:paraId="5DC92447"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p>
        </w:tc>
        <w:tc>
          <w:tcPr>
            <w:tcW w:w="2356" w:type="dxa"/>
          </w:tcPr>
          <w:p w14:paraId="0881A784" w14:textId="6C80991D" w:rsidR="00412BF2" w:rsidRPr="00BB75B8" w:rsidRDefault="004D5499" w:rsidP="004D5499">
            <w:pPr>
              <w:spacing w:before="120" w:line="278" w:lineRule="auto"/>
              <w:rPr>
                <w:rFonts w:ascii="Selawik" w:eastAsia="Arial" w:hAnsi="Selawik" w:cs="Calibri Light"/>
                <w:color w:val="595959"/>
                <w:kern w:val="20"/>
                <w:szCs w:val="16"/>
                <w:lang w:eastAsia="fr-FR"/>
              </w:rPr>
            </w:pPr>
            <w:r>
              <w:rPr>
                <w:rFonts w:ascii="Selawik" w:eastAsia="Arial" w:hAnsi="Selawik" w:cs="Calibri Light"/>
                <w:color w:val="595959"/>
                <w:kern w:val="20"/>
                <w:szCs w:val="16"/>
                <w:lang w:eastAsia="fr-FR"/>
              </w:rPr>
              <w:t>N°2 approuvée le 22 mars 2021</w:t>
            </w:r>
          </w:p>
        </w:tc>
      </w:tr>
      <w:tr w:rsidR="00412BF2" w:rsidRPr="00BB75B8" w14:paraId="6EEF5E71" w14:textId="77777777" w:rsidTr="003C75EC">
        <w:trPr>
          <w:trHeight w:val="113"/>
        </w:trPr>
        <w:tc>
          <w:tcPr>
            <w:tcW w:w="2127" w:type="dxa"/>
          </w:tcPr>
          <w:p w14:paraId="46434725"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p>
        </w:tc>
        <w:tc>
          <w:tcPr>
            <w:tcW w:w="1984" w:type="dxa"/>
          </w:tcPr>
          <w:p w14:paraId="1E0D1F0D"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p>
        </w:tc>
        <w:tc>
          <w:tcPr>
            <w:tcW w:w="2033" w:type="dxa"/>
          </w:tcPr>
          <w:p w14:paraId="786CE992" w14:textId="77777777" w:rsidR="00412BF2" w:rsidRPr="00BB75B8" w:rsidRDefault="00412BF2" w:rsidP="00C846FC">
            <w:pPr>
              <w:spacing w:before="120" w:line="278" w:lineRule="auto"/>
              <w:jc w:val="left"/>
              <w:rPr>
                <w:rFonts w:ascii="Selawik" w:eastAsia="Arial" w:hAnsi="Selawik" w:cs="Calibri Light"/>
                <w:color w:val="595959"/>
                <w:kern w:val="20"/>
                <w:szCs w:val="16"/>
                <w:lang w:eastAsia="fr-FR"/>
              </w:rPr>
            </w:pPr>
          </w:p>
        </w:tc>
        <w:tc>
          <w:tcPr>
            <w:tcW w:w="2356" w:type="dxa"/>
          </w:tcPr>
          <w:p w14:paraId="05497A8E" w14:textId="77777777" w:rsidR="00412BF2" w:rsidRPr="00BB75B8" w:rsidRDefault="00412BF2" w:rsidP="004D5499">
            <w:pPr>
              <w:spacing w:before="120" w:line="278" w:lineRule="auto"/>
              <w:rPr>
                <w:rFonts w:ascii="Selawik" w:eastAsia="Arial" w:hAnsi="Selawik" w:cs="Calibri Light"/>
                <w:color w:val="595959"/>
                <w:kern w:val="20"/>
                <w:szCs w:val="16"/>
                <w:lang w:eastAsia="fr-FR"/>
              </w:rPr>
            </w:pPr>
          </w:p>
        </w:tc>
      </w:tr>
    </w:tbl>
    <w:p w14:paraId="27661446" w14:textId="090D6828" w:rsidR="00BB75B8" w:rsidRPr="00BB75B8" w:rsidRDefault="002859D1" w:rsidP="00C846FC">
      <w:pPr>
        <w:spacing w:before="120" w:line="278" w:lineRule="auto"/>
        <w:jc w:val="left"/>
        <w:rPr>
          <w:rFonts w:ascii="Selawik" w:eastAsia="Yu Gothic Light" w:hAnsi="Selawik" w:cs="Calibri Light"/>
          <w:bCs/>
          <w:caps/>
          <w:color w:val="000000"/>
          <w:kern w:val="20"/>
          <w:sz w:val="40"/>
          <w:szCs w:val="18"/>
          <w:lang w:eastAsia="ja-JP"/>
        </w:rPr>
      </w:pPr>
      <w:r w:rsidRPr="00992B59">
        <w:rPr>
          <w:rFonts w:ascii="Selawik" w:eastAsia="Yu Gothic Light" w:hAnsi="Selawik" w:cs="Calibri Light"/>
          <w:bCs/>
          <w:caps/>
          <w:noProof/>
          <w:color w:val="000000"/>
          <w:sz w:val="36"/>
          <w:szCs w:val="16"/>
          <w:lang w:eastAsia="fr-FR"/>
        </w:rPr>
        <w:drawing>
          <wp:anchor distT="0" distB="0" distL="114300" distR="114300" simplePos="0" relativeHeight="252122112" behindDoc="0" locked="0" layoutInCell="1" allowOverlap="1" wp14:anchorId="0A5A1A91" wp14:editId="4BF47B0D">
            <wp:simplePos x="0" y="0"/>
            <wp:positionH relativeFrom="column">
              <wp:posOffset>796290</wp:posOffset>
            </wp:positionH>
            <wp:positionV relativeFrom="paragraph">
              <wp:posOffset>1974215</wp:posOffset>
            </wp:positionV>
            <wp:extent cx="1265555" cy="1393825"/>
            <wp:effectExtent l="0" t="0" r="0" b="0"/>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5555" cy="1393825"/>
                    </a:xfrm>
                    <a:prstGeom prst="rect">
                      <a:avLst/>
                    </a:prstGeom>
                  </pic:spPr>
                </pic:pic>
              </a:graphicData>
            </a:graphic>
            <wp14:sizeRelH relativeFrom="page">
              <wp14:pctWidth>0</wp14:pctWidth>
            </wp14:sizeRelH>
            <wp14:sizeRelV relativeFrom="page">
              <wp14:pctHeight>0</wp14:pctHeight>
            </wp14:sizeRelV>
          </wp:anchor>
        </w:drawing>
      </w:r>
    </w:p>
    <w:p w14:paraId="21AC97D9" w14:textId="0D40C1CC" w:rsidR="002859D1" w:rsidRPr="00E81E59" w:rsidRDefault="002859D1" w:rsidP="00C846FC">
      <w:pPr>
        <w:spacing w:before="240" w:after="60" w:line="278" w:lineRule="auto"/>
        <w:ind w:left="3402" w:right="498" w:hanging="3402"/>
        <w:jc w:val="left"/>
        <w:rPr>
          <w:rFonts w:ascii="Selawik" w:eastAsia="Arial" w:hAnsi="Selawik" w:cs="Calibri Light"/>
          <w:b/>
          <w:color w:val="002060"/>
          <w:kern w:val="20"/>
          <w:sz w:val="32"/>
          <w:szCs w:val="18"/>
          <w:lang w:eastAsia="fr-FR"/>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pPr>
      <w:r w:rsidRPr="00E81E59">
        <w:rPr>
          <w:rFonts w:ascii="Selawik" w:eastAsia="Arial" w:hAnsi="Selawik" w:cs="Calibri Light"/>
          <w:b/>
          <w:color w:val="002060"/>
          <w:kern w:val="20"/>
          <w:sz w:val="32"/>
          <w:szCs w:val="18"/>
          <w:lang w:eastAsia="fr-FR"/>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VILLE DE SULLY-SUR-LOIRE</w:t>
      </w:r>
    </w:p>
    <w:p w14:paraId="0857667C" w14:textId="2AB9F5C1" w:rsidR="002859D1" w:rsidRPr="002859D1" w:rsidRDefault="002859D1" w:rsidP="00C846FC">
      <w:pPr>
        <w:spacing w:after="160" w:line="278" w:lineRule="auto"/>
        <w:ind w:left="3402" w:right="498" w:hanging="3402"/>
        <w:jc w:val="left"/>
        <w:rPr>
          <w:rFonts w:ascii="Selawik" w:eastAsia="Arial" w:hAnsi="Selawik" w:cs="Calibri Light"/>
          <w:b/>
          <w:color w:val="002060"/>
          <w:kern w:val="20"/>
          <w:sz w:val="28"/>
          <w:szCs w:val="18"/>
          <w:lang w:eastAsia="fr-FR"/>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pPr>
      <w:r w:rsidRPr="002859D1">
        <w:rPr>
          <w:rFonts w:ascii="Selawik" w:eastAsia="Arial" w:hAnsi="Selawik" w:cs="Calibri Light"/>
          <w:b/>
          <w:color w:val="002060"/>
          <w:kern w:val="20"/>
          <w:sz w:val="28"/>
          <w:szCs w:val="18"/>
          <w:lang w:eastAsia="fr-FR"/>
          <w14:shadow w14:blurRad="12700" w14:dist="38100" w14:dir="2700000" w14:sx="100000" w14:sy="100000" w14:kx="0" w14:ky="0" w14:algn="tl">
            <w14:schemeClr w14:val="accent5">
              <w14:lumMod w14:val="60000"/>
              <w14:lumOff w14:val="40000"/>
            </w14:schemeClr>
          </w14:shadow>
          <w14:textOutline w14:w="3175" w14:cap="flat" w14:cmpd="sng" w14:algn="ctr">
            <w14:solidFill>
              <w14:schemeClr w14:val="bg1"/>
            </w14:solidFill>
            <w14:prstDash w14:val="solid"/>
            <w14:round/>
          </w14:textOutline>
        </w:rPr>
        <w:t>VILLE D’ART &amp; D’HISTOIRE</w:t>
      </w:r>
    </w:p>
    <w:p w14:paraId="30E111F3" w14:textId="77777777" w:rsidR="002859D1" w:rsidRDefault="002859D1" w:rsidP="00C846FC">
      <w:pPr>
        <w:spacing w:before="240" w:after="160" w:line="278" w:lineRule="auto"/>
        <w:ind w:right="498"/>
        <w:jc w:val="right"/>
        <w:rPr>
          <w:rFonts w:ascii="Selawik" w:eastAsia="Arial" w:hAnsi="Selawik" w:cs="Calibri Light"/>
          <w:color w:val="595959"/>
          <w:kern w:val="20"/>
          <w:sz w:val="22"/>
          <w:szCs w:val="18"/>
          <w:lang w:eastAsia="fr-FR"/>
        </w:rPr>
      </w:pPr>
    </w:p>
    <w:p w14:paraId="538B12C2" w14:textId="5BB210BF" w:rsidR="007C5C54" w:rsidRDefault="007C5C54">
      <w:pPr>
        <w:spacing w:after="0" w:line="240" w:lineRule="auto"/>
        <w:jc w:val="left"/>
        <w:rPr>
          <w:rFonts w:ascii="Selawik" w:eastAsia="Arial" w:hAnsi="Selawik" w:cs="Calibri Light"/>
          <w:color w:val="595959"/>
          <w:kern w:val="20"/>
          <w:sz w:val="22"/>
          <w:szCs w:val="18"/>
          <w:lang w:eastAsia="fr-FR"/>
        </w:rPr>
      </w:pPr>
      <w:r>
        <w:rPr>
          <w:rFonts w:ascii="Selawik" w:eastAsia="Arial" w:hAnsi="Selawik" w:cs="Calibri Light"/>
          <w:color w:val="595959"/>
          <w:kern w:val="20"/>
          <w:sz w:val="22"/>
          <w:szCs w:val="18"/>
          <w:lang w:eastAsia="fr-FR"/>
        </w:rPr>
        <w:br w:type="page"/>
      </w:r>
    </w:p>
    <w:p w14:paraId="195B7BDD" w14:textId="7B0253B0" w:rsidR="00BB75B8" w:rsidRPr="00BB75B8" w:rsidRDefault="005C66C0" w:rsidP="00C846FC">
      <w:pPr>
        <w:spacing w:before="40" w:after="0" w:line="278" w:lineRule="auto"/>
        <w:ind w:left="-2160"/>
        <w:jc w:val="left"/>
        <w:rPr>
          <w:rFonts w:ascii="Selawik" w:eastAsia="Arial" w:hAnsi="Selawik" w:cs="Calibri Light"/>
          <w:color w:val="595959"/>
          <w:kern w:val="20"/>
          <w:sz w:val="24"/>
          <w:szCs w:val="20"/>
          <w:lang w:eastAsia="fr-FR"/>
        </w:rPr>
      </w:pPr>
      <w:sdt>
        <w:sdtPr>
          <w:rPr>
            <w:rFonts w:ascii="Selawik" w:hAnsi="Selawik"/>
            <w:color w:val="595959"/>
            <w:kern w:val="20"/>
            <w:sz w:val="24"/>
            <w:szCs w:val="20"/>
            <w:lang w:eastAsia="ja-JP"/>
          </w:rPr>
          <w:id w:val="-206116552"/>
          <w15:appearance w15:val="hidden"/>
          <w:picture/>
        </w:sdtPr>
        <w:sdtEndPr/>
        <w:sdtContent/>
      </w:sdt>
      <w:bookmarkEnd w:id="0"/>
    </w:p>
    <w:p w14:paraId="0485872C" w14:textId="4014C204" w:rsidR="00C87013" w:rsidRDefault="002948DB" w:rsidP="00FF0C3F">
      <w:pPr>
        <w:pStyle w:val="TM1"/>
      </w:pPr>
      <w:r w:rsidRPr="00FF0C3F">
        <w:t>S</w:t>
      </w:r>
      <w:r w:rsidR="00C87013" w:rsidRPr="00FF0C3F">
        <w:t>OMMAIRE</w:t>
      </w:r>
    </w:p>
    <w:p w14:paraId="26B840F2" w14:textId="55C29A51" w:rsidR="00B57A3C" w:rsidRPr="00B57A3C" w:rsidRDefault="00CE6C5E" w:rsidP="00B57A3C">
      <w:pPr>
        <w:pStyle w:val="TM1"/>
        <w:ind w:left="0"/>
        <w:jc w:val="both"/>
      </w:pPr>
      <w:r w:rsidRPr="00FF0C3F">
        <w:fldChar w:fldCharType="begin"/>
      </w:r>
      <w:r w:rsidRPr="00FF0C3F">
        <w:instrText xml:space="preserve"> TOC \o "1-3" \h \z \u </w:instrText>
      </w:r>
      <w:r w:rsidRPr="00FF0C3F">
        <w:fldChar w:fldCharType="separate"/>
      </w:r>
    </w:p>
    <w:p w14:paraId="05A05178" w14:textId="269D2F99" w:rsidR="00B57A3C" w:rsidRDefault="005C66C0" w:rsidP="00B57A3C">
      <w:pPr>
        <w:pStyle w:val="TM1"/>
        <w:spacing w:before="120" w:after="120"/>
        <w:rPr>
          <w:rFonts w:asciiTheme="minorHAnsi" w:eastAsiaTheme="minorEastAsia" w:hAnsiTheme="minorHAnsi" w:cstheme="minorBidi"/>
          <w:b w:val="0"/>
          <w:caps w:val="0"/>
          <w:color w:val="auto"/>
          <w:sz w:val="22"/>
          <w:szCs w:val="22"/>
          <w:lang w:eastAsia="fr-FR"/>
        </w:rPr>
      </w:pPr>
      <w:hyperlink w:anchor="_Toc99556084" w:history="1">
        <w:r w:rsidR="00B57A3C" w:rsidRPr="00783448">
          <w:rPr>
            <w:rStyle w:val="Lienhypertexte"/>
          </w:rPr>
          <w:t>1.</w:t>
        </w:r>
        <w:r w:rsidR="00B57A3C">
          <w:rPr>
            <w:rFonts w:asciiTheme="minorHAnsi" w:eastAsiaTheme="minorEastAsia" w:hAnsiTheme="minorHAnsi" w:cstheme="minorBidi"/>
            <w:b w:val="0"/>
            <w:caps w:val="0"/>
            <w:color w:val="auto"/>
            <w:sz w:val="22"/>
            <w:szCs w:val="22"/>
            <w:lang w:eastAsia="fr-FR"/>
          </w:rPr>
          <w:tab/>
        </w:r>
        <w:r w:rsidR="00B57A3C" w:rsidRPr="00783448">
          <w:rPr>
            <w:rStyle w:val="Lienhypertexte"/>
          </w:rPr>
          <w:t>CoordonnÉes du maitre d’ouvrage</w:t>
        </w:r>
        <w:r w:rsidR="00B57A3C">
          <w:rPr>
            <w:webHidden/>
          </w:rPr>
          <w:tab/>
        </w:r>
        <w:r w:rsidR="00B57A3C">
          <w:rPr>
            <w:webHidden/>
          </w:rPr>
          <w:fldChar w:fldCharType="begin"/>
        </w:r>
        <w:r w:rsidR="00B57A3C">
          <w:rPr>
            <w:webHidden/>
          </w:rPr>
          <w:instrText xml:space="preserve"> PAGEREF _Toc99556084 \h </w:instrText>
        </w:r>
        <w:r w:rsidR="00B57A3C">
          <w:rPr>
            <w:webHidden/>
          </w:rPr>
        </w:r>
        <w:r w:rsidR="00B57A3C">
          <w:rPr>
            <w:webHidden/>
          </w:rPr>
          <w:fldChar w:fldCharType="separate"/>
        </w:r>
        <w:r w:rsidR="00443AD9">
          <w:rPr>
            <w:webHidden/>
          </w:rPr>
          <w:t>2</w:t>
        </w:r>
        <w:r w:rsidR="00B57A3C">
          <w:rPr>
            <w:webHidden/>
          </w:rPr>
          <w:fldChar w:fldCharType="end"/>
        </w:r>
      </w:hyperlink>
    </w:p>
    <w:p w14:paraId="72621BFE" w14:textId="32A6CB38" w:rsidR="00B57A3C" w:rsidRDefault="005C66C0" w:rsidP="00B57A3C">
      <w:pPr>
        <w:pStyle w:val="TM1"/>
        <w:spacing w:before="120" w:after="120"/>
        <w:rPr>
          <w:rFonts w:asciiTheme="minorHAnsi" w:eastAsiaTheme="minorEastAsia" w:hAnsiTheme="minorHAnsi" w:cstheme="minorBidi"/>
          <w:b w:val="0"/>
          <w:caps w:val="0"/>
          <w:color w:val="auto"/>
          <w:sz w:val="22"/>
          <w:szCs w:val="22"/>
          <w:lang w:eastAsia="fr-FR"/>
        </w:rPr>
      </w:pPr>
      <w:hyperlink w:anchor="_Toc99556085" w:history="1">
        <w:r w:rsidR="00B57A3C" w:rsidRPr="00783448">
          <w:rPr>
            <w:rStyle w:val="Lienhypertexte"/>
          </w:rPr>
          <w:t>2.</w:t>
        </w:r>
        <w:r w:rsidR="00B57A3C">
          <w:rPr>
            <w:rFonts w:asciiTheme="minorHAnsi" w:eastAsiaTheme="minorEastAsia" w:hAnsiTheme="minorHAnsi" w:cstheme="minorBidi"/>
            <w:b w:val="0"/>
            <w:caps w:val="0"/>
            <w:color w:val="auto"/>
            <w:sz w:val="22"/>
            <w:szCs w:val="22"/>
            <w:lang w:eastAsia="fr-FR"/>
          </w:rPr>
          <w:tab/>
        </w:r>
        <w:r w:rsidR="00B57A3C" w:rsidRPr="00783448">
          <w:rPr>
            <w:rStyle w:val="Lienhypertexte"/>
          </w:rPr>
          <w:t>PrÉsentation de l’objet de la dÉclaration de projet</w:t>
        </w:r>
        <w:r w:rsidR="00B57A3C">
          <w:rPr>
            <w:webHidden/>
          </w:rPr>
          <w:tab/>
        </w:r>
        <w:r w:rsidR="00B57A3C">
          <w:rPr>
            <w:webHidden/>
          </w:rPr>
          <w:fldChar w:fldCharType="begin"/>
        </w:r>
        <w:r w:rsidR="00B57A3C">
          <w:rPr>
            <w:webHidden/>
          </w:rPr>
          <w:instrText xml:space="preserve"> PAGEREF _Toc99556085 \h </w:instrText>
        </w:r>
        <w:r w:rsidR="00B57A3C">
          <w:rPr>
            <w:webHidden/>
          </w:rPr>
        </w:r>
        <w:r w:rsidR="00B57A3C">
          <w:rPr>
            <w:webHidden/>
          </w:rPr>
          <w:fldChar w:fldCharType="separate"/>
        </w:r>
        <w:r w:rsidR="00443AD9">
          <w:rPr>
            <w:webHidden/>
          </w:rPr>
          <w:t>3</w:t>
        </w:r>
        <w:r w:rsidR="00B57A3C">
          <w:rPr>
            <w:webHidden/>
          </w:rPr>
          <w:fldChar w:fldCharType="end"/>
        </w:r>
      </w:hyperlink>
    </w:p>
    <w:p w14:paraId="38D8D057" w14:textId="77E7B954" w:rsidR="00B57A3C" w:rsidRDefault="005C66C0" w:rsidP="00B57A3C">
      <w:pPr>
        <w:pStyle w:val="TM3"/>
        <w:spacing w:before="120" w:after="120"/>
        <w:rPr>
          <w:rFonts w:asciiTheme="minorHAnsi" w:eastAsiaTheme="minorEastAsia" w:hAnsiTheme="minorHAnsi" w:cstheme="minorBidi"/>
          <w:noProof/>
          <w:sz w:val="22"/>
          <w:lang w:eastAsia="fr-FR"/>
        </w:rPr>
      </w:pPr>
      <w:hyperlink w:anchor="_Toc99556086" w:history="1">
        <w:r w:rsidR="00B57A3C" w:rsidRPr="00783448">
          <w:rPr>
            <w:rStyle w:val="Lienhypertexte"/>
            <w:noProof/>
          </w:rPr>
          <w:t>A.</w:t>
        </w:r>
        <w:r w:rsidR="00B57A3C">
          <w:rPr>
            <w:rFonts w:asciiTheme="minorHAnsi" w:eastAsiaTheme="minorEastAsia" w:hAnsiTheme="minorHAnsi" w:cstheme="minorBidi"/>
            <w:noProof/>
            <w:sz w:val="22"/>
            <w:lang w:eastAsia="fr-FR"/>
          </w:rPr>
          <w:tab/>
        </w:r>
        <w:r w:rsidR="00B57A3C" w:rsidRPr="00783448">
          <w:rPr>
            <w:rStyle w:val="Lienhypertexte"/>
            <w:noProof/>
          </w:rPr>
          <w:t>Contexte de la déclaration de projet</w:t>
        </w:r>
        <w:r w:rsidR="00B57A3C">
          <w:rPr>
            <w:noProof/>
            <w:webHidden/>
          </w:rPr>
          <w:tab/>
        </w:r>
        <w:r w:rsidR="00B57A3C">
          <w:rPr>
            <w:noProof/>
            <w:webHidden/>
          </w:rPr>
          <w:fldChar w:fldCharType="begin"/>
        </w:r>
        <w:r w:rsidR="00B57A3C">
          <w:rPr>
            <w:noProof/>
            <w:webHidden/>
          </w:rPr>
          <w:instrText xml:space="preserve"> PAGEREF _Toc99556086 \h </w:instrText>
        </w:r>
        <w:r w:rsidR="00B57A3C">
          <w:rPr>
            <w:noProof/>
            <w:webHidden/>
          </w:rPr>
        </w:r>
        <w:r w:rsidR="00B57A3C">
          <w:rPr>
            <w:noProof/>
            <w:webHidden/>
          </w:rPr>
          <w:fldChar w:fldCharType="separate"/>
        </w:r>
        <w:r w:rsidR="00443AD9">
          <w:rPr>
            <w:noProof/>
            <w:webHidden/>
          </w:rPr>
          <w:t>3</w:t>
        </w:r>
        <w:r w:rsidR="00B57A3C">
          <w:rPr>
            <w:noProof/>
            <w:webHidden/>
          </w:rPr>
          <w:fldChar w:fldCharType="end"/>
        </w:r>
      </w:hyperlink>
    </w:p>
    <w:p w14:paraId="70BD7730" w14:textId="7D5FF90E" w:rsidR="00B57A3C" w:rsidRDefault="005C66C0" w:rsidP="00B57A3C">
      <w:pPr>
        <w:pStyle w:val="TM3"/>
        <w:spacing w:before="120" w:after="120"/>
        <w:rPr>
          <w:rFonts w:asciiTheme="minorHAnsi" w:eastAsiaTheme="minorEastAsia" w:hAnsiTheme="minorHAnsi" w:cstheme="minorBidi"/>
          <w:noProof/>
          <w:sz w:val="22"/>
          <w:lang w:eastAsia="fr-FR"/>
        </w:rPr>
      </w:pPr>
      <w:hyperlink w:anchor="_Toc99556087" w:history="1">
        <w:r w:rsidR="00B57A3C" w:rsidRPr="00783448">
          <w:rPr>
            <w:rStyle w:val="Lienhypertexte"/>
            <w:noProof/>
          </w:rPr>
          <w:t>B.</w:t>
        </w:r>
        <w:r w:rsidR="00B57A3C">
          <w:rPr>
            <w:rFonts w:asciiTheme="minorHAnsi" w:eastAsiaTheme="minorEastAsia" w:hAnsiTheme="minorHAnsi" w:cstheme="minorBidi"/>
            <w:noProof/>
            <w:sz w:val="22"/>
            <w:lang w:eastAsia="fr-FR"/>
          </w:rPr>
          <w:tab/>
        </w:r>
        <w:r w:rsidR="00B57A3C" w:rsidRPr="00783448">
          <w:rPr>
            <w:rStyle w:val="Lienhypertexte"/>
            <w:noProof/>
          </w:rPr>
          <w:t>Les principales modifications du PLU vis-à-vis de la déclaration de projet</w:t>
        </w:r>
        <w:r w:rsidR="00B57A3C">
          <w:rPr>
            <w:noProof/>
            <w:webHidden/>
          </w:rPr>
          <w:tab/>
        </w:r>
        <w:r w:rsidR="00B57A3C">
          <w:rPr>
            <w:noProof/>
            <w:webHidden/>
          </w:rPr>
          <w:fldChar w:fldCharType="begin"/>
        </w:r>
        <w:r w:rsidR="00B57A3C">
          <w:rPr>
            <w:noProof/>
            <w:webHidden/>
          </w:rPr>
          <w:instrText xml:space="preserve"> PAGEREF _Toc99556087 \h </w:instrText>
        </w:r>
        <w:r w:rsidR="00B57A3C">
          <w:rPr>
            <w:noProof/>
            <w:webHidden/>
          </w:rPr>
        </w:r>
        <w:r w:rsidR="00B57A3C">
          <w:rPr>
            <w:noProof/>
            <w:webHidden/>
          </w:rPr>
          <w:fldChar w:fldCharType="separate"/>
        </w:r>
        <w:r w:rsidR="00443AD9">
          <w:rPr>
            <w:noProof/>
            <w:webHidden/>
          </w:rPr>
          <w:t>4</w:t>
        </w:r>
        <w:r w:rsidR="00B57A3C">
          <w:rPr>
            <w:noProof/>
            <w:webHidden/>
          </w:rPr>
          <w:fldChar w:fldCharType="end"/>
        </w:r>
      </w:hyperlink>
    </w:p>
    <w:p w14:paraId="2F92679F" w14:textId="3F7C5E6D" w:rsidR="00B57A3C" w:rsidRDefault="005C66C0" w:rsidP="00B57A3C">
      <w:pPr>
        <w:pStyle w:val="TM1"/>
        <w:spacing w:before="120" w:after="120"/>
        <w:rPr>
          <w:rFonts w:asciiTheme="minorHAnsi" w:eastAsiaTheme="minorEastAsia" w:hAnsiTheme="minorHAnsi" w:cstheme="minorBidi"/>
          <w:b w:val="0"/>
          <w:caps w:val="0"/>
          <w:color w:val="auto"/>
          <w:sz w:val="22"/>
          <w:szCs w:val="22"/>
          <w:lang w:eastAsia="fr-FR"/>
        </w:rPr>
      </w:pPr>
      <w:hyperlink w:anchor="_Toc99556088" w:history="1">
        <w:r w:rsidR="00B57A3C" w:rsidRPr="00783448">
          <w:rPr>
            <w:rStyle w:val="Lienhypertexte"/>
          </w:rPr>
          <w:t>3.</w:t>
        </w:r>
        <w:r w:rsidR="00B57A3C">
          <w:rPr>
            <w:rFonts w:asciiTheme="minorHAnsi" w:eastAsiaTheme="minorEastAsia" w:hAnsiTheme="minorHAnsi" w:cstheme="minorBidi"/>
            <w:b w:val="0"/>
            <w:caps w:val="0"/>
            <w:color w:val="auto"/>
            <w:sz w:val="22"/>
            <w:szCs w:val="22"/>
            <w:lang w:eastAsia="fr-FR"/>
          </w:rPr>
          <w:tab/>
        </w:r>
        <w:r w:rsidR="00B57A3C" w:rsidRPr="00783448">
          <w:rPr>
            <w:rStyle w:val="Lienhypertexte"/>
          </w:rPr>
          <w:t>Chronologie du porteur de projet</w:t>
        </w:r>
        <w:r w:rsidR="00B57A3C">
          <w:rPr>
            <w:webHidden/>
          </w:rPr>
          <w:tab/>
        </w:r>
        <w:r w:rsidR="00B57A3C">
          <w:rPr>
            <w:webHidden/>
          </w:rPr>
          <w:fldChar w:fldCharType="begin"/>
        </w:r>
        <w:r w:rsidR="00B57A3C">
          <w:rPr>
            <w:webHidden/>
          </w:rPr>
          <w:instrText xml:space="preserve"> PAGEREF _Toc99556088 \h </w:instrText>
        </w:r>
        <w:r w:rsidR="00B57A3C">
          <w:rPr>
            <w:webHidden/>
          </w:rPr>
        </w:r>
        <w:r w:rsidR="00B57A3C">
          <w:rPr>
            <w:webHidden/>
          </w:rPr>
          <w:fldChar w:fldCharType="separate"/>
        </w:r>
        <w:r w:rsidR="00443AD9">
          <w:rPr>
            <w:webHidden/>
          </w:rPr>
          <w:t>5</w:t>
        </w:r>
        <w:r w:rsidR="00B57A3C">
          <w:rPr>
            <w:webHidden/>
          </w:rPr>
          <w:fldChar w:fldCharType="end"/>
        </w:r>
      </w:hyperlink>
    </w:p>
    <w:p w14:paraId="1E9E09EB" w14:textId="150E2340" w:rsidR="00B57A3C" w:rsidRDefault="005C66C0" w:rsidP="00B57A3C">
      <w:pPr>
        <w:pStyle w:val="TM1"/>
        <w:spacing w:before="120" w:after="120"/>
        <w:rPr>
          <w:rFonts w:asciiTheme="minorHAnsi" w:eastAsiaTheme="minorEastAsia" w:hAnsiTheme="minorHAnsi" w:cstheme="minorBidi"/>
          <w:b w:val="0"/>
          <w:caps w:val="0"/>
          <w:color w:val="auto"/>
          <w:sz w:val="22"/>
          <w:szCs w:val="22"/>
          <w:lang w:eastAsia="fr-FR"/>
        </w:rPr>
      </w:pPr>
      <w:hyperlink w:anchor="_Toc99556089" w:history="1">
        <w:r w:rsidR="00B57A3C" w:rsidRPr="00783448">
          <w:rPr>
            <w:rStyle w:val="Lienhypertexte"/>
          </w:rPr>
          <w:t>4.</w:t>
        </w:r>
        <w:r w:rsidR="00B57A3C">
          <w:rPr>
            <w:rFonts w:asciiTheme="minorHAnsi" w:eastAsiaTheme="minorEastAsia" w:hAnsiTheme="minorHAnsi" w:cstheme="minorBidi"/>
            <w:b w:val="0"/>
            <w:caps w:val="0"/>
            <w:color w:val="auto"/>
            <w:sz w:val="22"/>
            <w:szCs w:val="22"/>
            <w:lang w:eastAsia="fr-FR"/>
          </w:rPr>
          <w:tab/>
        </w:r>
        <w:r w:rsidR="00B57A3C" w:rsidRPr="00783448">
          <w:rPr>
            <w:rStyle w:val="Lienhypertexte"/>
          </w:rPr>
          <w:t>PrÉsentation de la démarche de dÉclaration de projet</w:t>
        </w:r>
        <w:r w:rsidR="00B57A3C">
          <w:rPr>
            <w:webHidden/>
          </w:rPr>
          <w:tab/>
        </w:r>
        <w:r w:rsidR="00B57A3C">
          <w:rPr>
            <w:webHidden/>
          </w:rPr>
          <w:fldChar w:fldCharType="begin"/>
        </w:r>
        <w:r w:rsidR="00B57A3C">
          <w:rPr>
            <w:webHidden/>
          </w:rPr>
          <w:instrText xml:space="preserve"> PAGEREF _Toc99556089 \h </w:instrText>
        </w:r>
        <w:r w:rsidR="00B57A3C">
          <w:rPr>
            <w:webHidden/>
          </w:rPr>
        </w:r>
        <w:r w:rsidR="00B57A3C">
          <w:rPr>
            <w:webHidden/>
          </w:rPr>
          <w:fldChar w:fldCharType="separate"/>
        </w:r>
        <w:r w:rsidR="00443AD9">
          <w:rPr>
            <w:webHidden/>
          </w:rPr>
          <w:t>6</w:t>
        </w:r>
        <w:r w:rsidR="00B57A3C">
          <w:rPr>
            <w:webHidden/>
          </w:rPr>
          <w:fldChar w:fldCharType="end"/>
        </w:r>
      </w:hyperlink>
    </w:p>
    <w:p w14:paraId="2FEF36F7" w14:textId="594A4A6B" w:rsidR="00B57A3C" w:rsidRDefault="005C66C0" w:rsidP="00B57A3C">
      <w:pPr>
        <w:pStyle w:val="TM3"/>
        <w:spacing w:before="120" w:after="120"/>
        <w:rPr>
          <w:rFonts w:asciiTheme="minorHAnsi" w:eastAsiaTheme="minorEastAsia" w:hAnsiTheme="minorHAnsi" w:cstheme="minorBidi"/>
          <w:noProof/>
          <w:sz w:val="22"/>
          <w:lang w:eastAsia="fr-FR"/>
        </w:rPr>
      </w:pPr>
      <w:hyperlink w:anchor="_Toc99556090" w:history="1">
        <w:r w:rsidR="00B57A3C" w:rsidRPr="00783448">
          <w:rPr>
            <w:rStyle w:val="Lienhypertexte"/>
            <w:noProof/>
          </w:rPr>
          <w:t>A.</w:t>
        </w:r>
        <w:r w:rsidR="00B57A3C">
          <w:rPr>
            <w:rFonts w:asciiTheme="minorHAnsi" w:eastAsiaTheme="minorEastAsia" w:hAnsiTheme="minorHAnsi" w:cstheme="minorBidi"/>
            <w:noProof/>
            <w:sz w:val="22"/>
            <w:lang w:eastAsia="fr-FR"/>
          </w:rPr>
          <w:tab/>
        </w:r>
        <w:r w:rsidR="00B57A3C" w:rsidRPr="00783448">
          <w:rPr>
            <w:rStyle w:val="Lienhypertexte"/>
            <w:noProof/>
          </w:rPr>
          <w:t>Champ d’application</w:t>
        </w:r>
        <w:r w:rsidR="00B57A3C">
          <w:rPr>
            <w:noProof/>
            <w:webHidden/>
          </w:rPr>
          <w:tab/>
        </w:r>
        <w:r w:rsidR="00B57A3C">
          <w:rPr>
            <w:noProof/>
            <w:webHidden/>
          </w:rPr>
          <w:fldChar w:fldCharType="begin"/>
        </w:r>
        <w:r w:rsidR="00B57A3C">
          <w:rPr>
            <w:noProof/>
            <w:webHidden/>
          </w:rPr>
          <w:instrText xml:space="preserve"> PAGEREF _Toc99556090 \h </w:instrText>
        </w:r>
        <w:r w:rsidR="00B57A3C">
          <w:rPr>
            <w:noProof/>
            <w:webHidden/>
          </w:rPr>
        </w:r>
        <w:r w:rsidR="00B57A3C">
          <w:rPr>
            <w:noProof/>
            <w:webHidden/>
          </w:rPr>
          <w:fldChar w:fldCharType="separate"/>
        </w:r>
        <w:r w:rsidR="00443AD9">
          <w:rPr>
            <w:noProof/>
            <w:webHidden/>
          </w:rPr>
          <w:t>6</w:t>
        </w:r>
        <w:r w:rsidR="00B57A3C">
          <w:rPr>
            <w:noProof/>
            <w:webHidden/>
          </w:rPr>
          <w:fldChar w:fldCharType="end"/>
        </w:r>
      </w:hyperlink>
    </w:p>
    <w:p w14:paraId="071C7D39" w14:textId="697E5C66" w:rsidR="00B57A3C" w:rsidRDefault="005C66C0" w:rsidP="00B57A3C">
      <w:pPr>
        <w:pStyle w:val="TM1"/>
        <w:spacing w:before="120" w:after="120"/>
        <w:rPr>
          <w:rFonts w:asciiTheme="minorHAnsi" w:eastAsiaTheme="minorEastAsia" w:hAnsiTheme="minorHAnsi" w:cstheme="minorBidi"/>
          <w:b w:val="0"/>
          <w:caps w:val="0"/>
          <w:color w:val="auto"/>
          <w:sz w:val="22"/>
          <w:szCs w:val="22"/>
          <w:lang w:eastAsia="fr-FR"/>
        </w:rPr>
      </w:pPr>
      <w:hyperlink w:anchor="_Toc99556091" w:history="1">
        <w:r w:rsidR="00B57A3C" w:rsidRPr="00783448">
          <w:rPr>
            <w:rStyle w:val="Lienhypertexte"/>
          </w:rPr>
          <w:t>5.</w:t>
        </w:r>
        <w:r w:rsidR="00B57A3C">
          <w:rPr>
            <w:rFonts w:asciiTheme="minorHAnsi" w:eastAsiaTheme="minorEastAsia" w:hAnsiTheme="minorHAnsi" w:cstheme="minorBidi"/>
            <w:b w:val="0"/>
            <w:caps w:val="0"/>
            <w:color w:val="auto"/>
            <w:sz w:val="22"/>
            <w:szCs w:val="22"/>
            <w:lang w:eastAsia="fr-FR"/>
          </w:rPr>
          <w:tab/>
        </w:r>
        <w:r w:rsidR="00B57A3C" w:rsidRPr="00783448">
          <w:rPr>
            <w:rStyle w:val="Lienhypertexte"/>
          </w:rPr>
          <w:t>Description du site</w:t>
        </w:r>
        <w:r w:rsidR="00B57A3C">
          <w:rPr>
            <w:webHidden/>
          </w:rPr>
          <w:tab/>
        </w:r>
        <w:r w:rsidR="00B57A3C">
          <w:rPr>
            <w:webHidden/>
          </w:rPr>
          <w:fldChar w:fldCharType="begin"/>
        </w:r>
        <w:r w:rsidR="00B57A3C">
          <w:rPr>
            <w:webHidden/>
          </w:rPr>
          <w:instrText xml:space="preserve"> PAGEREF _Toc99556091 \h </w:instrText>
        </w:r>
        <w:r w:rsidR="00B57A3C">
          <w:rPr>
            <w:webHidden/>
          </w:rPr>
        </w:r>
        <w:r w:rsidR="00B57A3C">
          <w:rPr>
            <w:webHidden/>
          </w:rPr>
          <w:fldChar w:fldCharType="separate"/>
        </w:r>
        <w:r w:rsidR="00443AD9">
          <w:rPr>
            <w:webHidden/>
          </w:rPr>
          <w:t>10</w:t>
        </w:r>
        <w:r w:rsidR="00B57A3C">
          <w:rPr>
            <w:webHidden/>
          </w:rPr>
          <w:fldChar w:fldCharType="end"/>
        </w:r>
      </w:hyperlink>
    </w:p>
    <w:p w14:paraId="6AFC9EDD" w14:textId="64C38B48" w:rsidR="00B57A3C" w:rsidRDefault="005C66C0" w:rsidP="00B57A3C">
      <w:pPr>
        <w:pStyle w:val="TM3"/>
        <w:spacing w:before="120" w:after="120"/>
        <w:rPr>
          <w:rFonts w:asciiTheme="minorHAnsi" w:eastAsiaTheme="minorEastAsia" w:hAnsiTheme="minorHAnsi" w:cstheme="minorBidi"/>
          <w:noProof/>
          <w:sz w:val="22"/>
          <w:lang w:eastAsia="fr-FR"/>
        </w:rPr>
      </w:pPr>
      <w:hyperlink w:anchor="_Toc99556092" w:history="1">
        <w:r w:rsidR="00B57A3C" w:rsidRPr="00783448">
          <w:rPr>
            <w:rStyle w:val="Lienhypertexte"/>
            <w:noProof/>
          </w:rPr>
          <w:t>A.</w:t>
        </w:r>
        <w:r w:rsidR="00B57A3C">
          <w:rPr>
            <w:rFonts w:asciiTheme="minorHAnsi" w:eastAsiaTheme="minorEastAsia" w:hAnsiTheme="minorHAnsi" w:cstheme="minorBidi"/>
            <w:noProof/>
            <w:sz w:val="22"/>
            <w:lang w:eastAsia="fr-FR"/>
          </w:rPr>
          <w:tab/>
        </w:r>
        <w:r w:rsidR="00B57A3C" w:rsidRPr="00783448">
          <w:rPr>
            <w:rStyle w:val="Lienhypertexte"/>
            <w:noProof/>
          </w:rPr>
          <w:t>Fiche d’identité du projet</w:t>
        </w:r>
        <w:r w:rsidR="00B57A3C">
          <w:rPr>
            <w:noProof/>
            <w:webHidden/>
          </w:rPr>
          <w:tab/>
        </w:r>
        <w:r w:rsidR="00B57A3C">
          <w:rPr>
            <w:noProof/>
            <w:webHidden/>
          </w:rPr>
          <w:fldChar w:fldCharType="begin"/>
        </w:r>
        <w:r w:rsidR="00B57A3C">
          <w:rPr>
            <w:noProof/>
            <w:webHidden/>
          </w:rPr>
          <w:instrText xml:space="preserve"> PAGEREF _Toc99556092 \h </w:instrText>
        </w:r>
        <w:r w:rsidR="00B57A3C">
          <w:rPr>
            <w:noProof/>
            <w:webHidden/>
          </w:rPr>
        </w:r>
        <w:r w:rsidR="00B57A3C">
          <w:rPr>
            <w:noProof/>
            <w:webHidden/>
          </w:rPr>
          <w:fldChar w:fldCharType="separate"/>
        </w:r>
        <w:r w:rsidR="00443AD9">
          <w:rPr>
            <w:noProof/>
            <w:webHidden/>
          </w:rPr>
          <w:t>10</w:t>
        </w:r>
        <w:r w:rsidR="00B57A3C">
          <w:rPr>
            <w:noProof/>
            <w:webHidden/>
          </w:rPr>
          <w:fldChar w:fldCharType="end"/>
        </w:r>
      </w:hyperlink>
    </w:p>
    <w:p w14:paraId="78677619" w14:textId="2935D35D" w:rsidR="00B57A3C" w:rsidRDefault="005C66C0" w:rsidP="00B57A3C">
      <w:pPr>
        <w:pStyle w:val="TM3"/>
        <w:spacing w:before="120" w:after="120"/>
        <w:rPr>
          <w:rFonts w:asciiTheme="minorHAnsi" w:eastAsiaTheme="minorEastAsia" w:hAnsiTheme="minorHAnsi" w:cstheme="minorBidi"/>
          <w:noProof/>
          <w:sz w:val="22"/>
          <w:lang w:eastAsia="fr-FR"/>
        </w:rPr>
      </w:pPr>
      <w:hyperlink w:anchor="_Toc99556093" w:history="1">
        <w:r w:rsidR="00B57A3C" w:rsidRPr="00783448">
          <w:rPr>
            <w:rStyle w:val="Lienhypertexte"/>
            <w:noProof/>
          </w:rPr>
          <w:t>B.</w:t>
        </w:r>
        <w:r w:rsidR="00B57A3C">
          <w:rPr>
            <w:rFonts w:asciiTheme="minorHAnsi" w:eastAsiaTheme="minorEastAsia" w:hAnsiTheme="minorHAnsi" w:cstheme="minorBidi"/>
            <w:noProof/>
            <w:sz w:val="22"/>
            <w:lang w:eastAsia="fr-FR"/>
          </w:rPr>
          <w:tab/>
        </w:r>
        <w:r w:rsidR="00B57A3C" w:rsidRPr="00783448">
          <w:rPr>
            <w:rStyle w:val="Lienhypertexte"/>
            <w:noProof/>
          </w:rPr>
          <w:t>Localisation</w:t>
        </w:r>
        <w:r w:rsidR="00B57A3C">
          <w:rPr>
            <w:noProof/>
            <w:webHidden/>
          </w:rPr>
          <w:tab/>
        </w:r>
        <w:r w:rsidR="00B57A3C">
          <w:rPr>
            <w:noProof/>
            <w:webHidden/>
          </w:rPr>
          <w:fldChar w:fldCharType="begin"/>
        </w:r>
        <w:r w:rsidR="00B57A3C">
          <w:rPr>
            <w:noProof/>
            <w:webHidden/>
          </w:rPr>
          <w:instrText xml:space="preserve"> PAGEREF _Toc99556093 \h </w:instrText>
        </w:r>
        <w:r w:rsidR="00B57A3C">
          <w:rPr>
            <w:noProof/>
            <w:webHidden/>
          </w:rPr>
        </w:r>
        <w:r w:rsidR="00B57A3C">
          <w:rPr>
            <w:noProof/>
            <w:webHidden/>
          </w:rPr>
          <w:fldChar w:fldCharType="separate"/>
        </w:r>
        <w:r w:rsidR="00443AD9">
          <w:rPr>
            <w:noProof/>
            <w:webHidden/>
          </w:rPr>
          <w:t>12</w:t>
        </w:r>
        <w:r w:rsidR="00B57A3C">
          <w:rPr>
            <w:noProof/>
            <w:webHidden/>
          </w:rPr>
          <w:fldChar w:fldCharType="end"/>
        </w:r>
      </w:hyperlink>
    </w:p>
    <w:p w14:paraId="342A99FD" w14:textId="72B6DC2F" w:rsidR="00B57A3C" w:rsidRDefault="005C66C0" w:rsidP="00B57A3C">
      <w:pPr>
        <w:pStyle w:val="TM3"/>
        <w:spacing w:before="120" w:after="120"/>
        <w:rPr>
          <w:rFonts w:asciiTheme="minorHAnsi" w:eastAsiaTheme="minorEastAsia" w:hAnsiTheme="minorHAnsi" w:cstheme="minorBidi"/>
          <w:noProof/>
          <w:sz w:val="22"/>
          <w:lang w:eastAsia="fr-FR"/>
        </w:rPr>
      </w:pPr>
      <w:hyperlink w:anchor="_Toc99556094" w:history="1">
        <w:r w:rsidR="00B57A3C" w:rsidRPr="00783448">
          <w:rPr>
            <w:rStyle w:val="Lienhypertexte"/>
            <w:noProof/>
          </w:rPr>
          <w:t>C.</w:t>
        </w:r>
        <w:r w:rsidR="00B57A3C">
          <w:rPr>
            <w:rFonts w:asciiTheme="minorHAnsi" w:eastAsiaTheme="minorEastAsia" w:hAnsiTheme="minorHAnsi" w:cstheme="minorBidi"/>
            <w:noProof/>
            <w:sz w:val="22"/>
            <w:lang w:eastAsia="fr-FR"/>
          </w:rPr>
          <w:tab/>
        </w:r>
        <w:r w:rsidR="00B57A3C" w:rsidRPr="00783448">
          <w:rPr>
            <w:rStyle w:val="Lienhypertexte"/>
            <w:noProof/>
          </w:rPr>
          <w:t>Tableau foncier</w:t>
        </w:r>
        <w:r w:rsidR="00B57A3C">
          <w:rPr>
            <w:noProof/>
            <w:webHidden/>
          </w:rPr>
          <w:tab/>
        </w:r>
        <w:r w:rsidR="00B57A3C">
          <w:rPr>
            <w:noProof/>
            <w:webHidden/>
          </w:rPr>
          <w:fldChar w:fldCharType="begin"/>
        </w:r>
        <w:r w:rsidR="00B57A3C">
          <w:rPr>
            <w:noProof/>
            <w:webHidden/>
          </w:rPr>
          <w:instrText xml:space="preserve"> PAGEREF _Toc99556094 \h </w:instrText>
        </w:r>
        <w:r w:rsidR="00B57A3C">
          <w:rPr>
            <w:noProof/>
            <w:webHidden/>
          </w:rPr>
        </w:r>
        <w:r w:rsidR="00B57A3C">
          <w:rPr>
            <w:noProof/>
            <w:webHidden/>
          </w:rPr>
          <w:fldChar w:fldCharType="separate"/>
        </w:r>
        <w:r w:rsidR="00443AD9">
          <w:rPr>
            <w:noProof/>
            <w:webHidden/>
          </w:rPr>
          <w:t>13</w:t>
        </w:r>
        <w:r w:rsidR="00B57A3C">
          <w:rPr>
            <w:noProof/>
            <w:webHidden/>
          </w:rPr>
          <w:fldChar w:fldCharType="end"/>
        </w:r>
      </w:hyperlink>
    </w:p>
    <w:p w14:paraId="616250F4" w14:textId="1D097E45" w:rsidR="00B57A3C" w:rsidRDefault="005C66C0" w:rsidP="00B57A3C">
      <w:pPr>
        <w:pStyle w:val="TM1"/>
        <w:spacing w:before="120" w:after="120"/>
        <w:rPr>
          <w:rFonts w:asciiTheme="minorHAnsi" w:eastAsiaTheme="minorEastAsia" w:hAnsiTheme="minorHAnsi" w:cstheme="minorBidi"/>
          <w:b w:val="0"/>
          <w:caps w:val="0"/>
          <w:color w:val="auto"/>
          <w:sz w:val="22"/>
          <w:szCs w:val="22"/>
          <w:lang w:eastAsia="fr-FR"/>
        </w:rPr>
      </w:pPr>
      <w:hyperlink w:anchor="_Toc99556095" w:history="1">
        <w:r w:rsidR="00B57A3C" w:rsidRPr="00783448">
          <w:rPr>
            <w:rStyle w:val="Lienhypertexte"/>
          </w:rPr>
          <w:t>6.</w:t>
        </w:r>
        <w:r w:rsidR="00B57A3C">
          <w:rPr>
            <w:rFonts w:asciiTheme="minorHAnsi" w:eastAsiaTheme="minorEastAsia" w:hAnsiTheme="minorHAnsi" w:cstheme="minorBidi"/>
            <w:b w:val="0"/>
            <w:caps w:val="0"/>
            <w:color w:val="auto"/>
            <w:sz w:val="22"/>
            <w:szCs w:val="22"/>
            <w:lang w:eastAsia="fr-FR"/>
          </w:rPr>
          <w:tab/>
        </w:r>
        <w:r w:rsidR="00B57A3C" w:rsidRPr="00783448">
          <w:rPr>
            <w:rStyle w:val="Lienhypertexte"/>
          </w:rPr>
          <w:t>Présentation des évolutions nécessaires aux pièces du PLU et justifications des modifications proposées</w:t>
        </w:r>
        <w:r w:rsidR="00B57A3C">
          <w:rPr>
            <w:webHidden/>
          </w:rPr>
          <w:tab/>
        </w:r>
        <w:r w:rsidR="00B57A3C">
          <w:rPr>
            <w:webHidden/>
          </w:rPr>
          <w:fldChar w:fldCharType="begin"/>
        </w:r>
        <w:r w:rsidR="00B57A3C">
          <w:rPr>
            <w:webHidden/>
          </w:rPr>
          <w:instrText xml:space="preserve"> PAGEREF _Toc99556095 \h </w:instrText>
        </w:r>
        <w:r w:rsidR="00B57A3C">
          <w:rPr>
            <w:webHidden/>
          </w:rPr>
        </w:r>
        <w:r w:rsidR="00B57A3C">
          <w:rPr>
            <w:webHidden/>
          </w:rPr>
          <w:fldChar w:fldCharType="separate"/>
        </w:r>
        <w:r w:rsidR="00443AD9">
          <w:rPr>
            <w:webHidden/>
          </w:rPr>
          <w:t>15</w:t>
        </w:r>
        <w:r w:rsidR="00B57A3C">
          <w:rPr>
            <w:webHidden/>
          </w:rPr>
          <w:fldChar w:fldCharType="end"/>
        </w:r>
      </w:hyperlink>
    </w:p>
    <w:p w14:paraId="13C89CE0" w14:textId="3008A410" w:rsidR="00B57A3C" w:rsidRDefault="005C66C0" w:rsidP="00B57A3C">
      <w:pPr>
        <w:pStyle w:val="TM3"/>
        <w:spacing w:before="120" w:after="120"/>
        <w:rPr>
          <w:rFonts w:asciiTheme="minorHAnsi" w:eastAsiaTheme="minorEastAsia" w:hAnsiTheme="minorHAnsi" w:cstheme="minorBidi"/>
          <w:noProof/>
          <w:sz w:val="22"/>
          <w:lang w:eastAsia="fr-FR"/>
        </w:rPr>
      </w:pPr>
      <w:hyperlink w:anchor="_Toc99556096" w:history="1">
        <w:r w:rsidR="00B57A3C" w:rsidRPr="00783448">
          <w:rPr>
            <w:rStyle w:val="Lienhypertexte"/>
            <w:noProof/>
          </w:rPr>
          <w:t>A.</w:t>
        </w:r>
        <w:r w:rsidR="00B57A3C">
          <w:rPr>
            <w:rFonts w:asciiTheme="minorHAnsi" w:eastAsiaTheme="minorEastAsia" w:hAnsiTheme="minorHAnsi" w:cstheme="minorBidi"/>
            <w:noProof/>
            <w:sz w:val="22"/>
            <w:lang w:eastAsia="fr-FR"/>
          </w:rPr>
          <w:tab/>
        </w:r>
        <w:r w:rsidR="00B57A3C" w:rsidRPr="00783448">
          <w:rPr>
            <w:rStyle w:val="Lienhypertexte"/>
            <w:noProof/>
          </w:rPr>
          <w:t>Plan de zonage</w:t>
        </w:r>
        <w:r w:rsidR="00B57A3C">
          <w:rPr>
            <w:noProof/>
            <w:webHidden/>
          </w:rPr>
          <w:tab/>
        </w:r>
        <w:r w:rsidR="00B57A3C">
          <w:rPr>
            <w:noProof/>
            <w:webHidden/>
          </w:rPr>
          <w:fldChar w:fldCharType="begin"/>
        </w:r>
        <w:r w:rsidR="00B57A3C">
          <w:rPr>
            <w:noProof/>
            <w:webHidden/>
          </w:rPr>
          <w:instrText xml:space="preserve"> PAGEREF _Toc99556096 \h </w:instrText>
        </w:r>
        <w:r w:rsidR="00B57A3C">
          <w:rPr>
            <w:noProof/>
            <w:webHidden/>
          </w:rPr>
        </w:r>
        <w:r w:rsidR="00B57A3C">
          <w:rPr>
            <w:noProof/>
            <w:webHidden/>
          </w:rPr>
          <w:fldChar w:fldCharType="separate"/>
        </w:r>
        <w:r w:rsidR="00443AD9">
          <w:rPr>
            <w:noProof/>
            <w:webHidden/>
          </w:rPr>
          <w:t>15</w:t>
        </w:r>
        <w:r w:rsidR="00B57A3C">
          <w:rPr>
            <w:noProof/>
            <w:webHidden/>
          </w:rPr>
          <w:fldChar w:fldCharType="end"/>
        </w:r>
      </w:hyperlink>
    </w:p>
    <w:p w14:paraId="49DECA3E" w14:textId="55FC01D6" w:rsidR="00336652" w:rsidRPr="00BE55F3" w:rsidRDefault="00CE6C5E" w:rsidP="00FF0C3F">
      <w:pPr>
        <w:pStyle w:val="TM1"/>
      </w:pPr>
      <w:r w:rsidRPr="00FF0C3F">
        <w:fldChar w:fldCharType="end"/>
      </w:r>
    </w:p>
    <w:p w14:paraId="03018C96" w14:textId="66937402" w:rsidR="00483FF8" w:rsidRPr="00BE55F3" w:rsidRDefault="004044D9" w:rsidP="00EF3E04">
      <w:pPr>
        <w:pStyle w:val="Titre1"/>
      </w:pPr>
      <w:bookmarkStart w:id="13" w:name="_Toc99556084"/>
      <w:r>
        <w:t>Coordonn</w:t>
      </w:r>
      <w:r w:rsidR="00063510">
        <w:t>É</w:t>
      </w:r>
      <w:r>
        <w:t>es du maitre d’ouvrage</w:t>
      </w:r>
      <w:bookmarkEnd w:id="13"/>
      <w:r>
        <w:t xml:space="preserve"> </w:t>
      </w:r>
    </w:p>
    <w:p w14:paraId="237109D3" w14:textId="77777777" w:rsidR="004044D9" w:rsidRPr="004044D9" w:rsidRDefault="00FA1ED7" w:rsidP="00C846FC">
      <w:pPr>
        <w:shd w:val="clear" w:color="auto" w:fill="2F5496" w:themeFill="accent5" w:themeFillShade="BF"/>
        <w:spacing w:before="120" w:line="278" w:lineRule="auto"/>
        <w:jc w:val="center"/>
        <w:rPr>
          <w:rFonts w:ascii="Selawik" w:hAnsi="Selawik"/>
          <w:color w:val="FFFFFF" w:themeColor="background1"/>
          <w:sz w:val="22"/>
        </w:rPr>
      </w:pPr>
      <w:r w:rsidRPr="00BE55F3">
        <w:rPr>
          <w:rFonts w:ascii="Selawik" w:hAnsi="Selawik"/>
          <w:color w:val="FFFFFF" w:themeColor="background1"/>
          <w:sz w:val="22"/>
        </w:rPr>
        <w:t>Le maître d’ouvrage de</w:t>
      </w:r>
      <w:r w:rsidR="004044D9">
        <w:rPr>
          <w:rFonts w:ascii="Selawik" w:hAnsi="Selawik"/>
          <w:color w:val="FFFFFF" w:themeColor="background1"/>
          <w:sz w:val="22"/>
        </w:rPr>
        <w:t xml:space="preserve"> la procédure est</w:t>
      </w:r>
      <w:r w:rsidRPr="00BE55F3">
        <w:rPr>
          <w:rFonts w:ascii="Selawik" w:hAnsi="Selawik"/>
          <w:color w:val="FFFFFF" w:themeColor="background1"/>
          <w:sz w:val="22"/>
        </w:rPr>
        <w:t xml:space="preserve"> :</w:t>
      </w:r>
    </w:p>
    <w:p w14:paraId="42929B53" w14:textId="0789C96F" w:rsidR="004044D9" w:rsidRDefault="004044D9" w:rsidP="00C846FC">
      <w:pPr>
        <w:spacing w:before="120" w:line="278" w:lineRule="auto"/>
        <w:rPr>
          <w:rFonts w:ascii="Selawik" w:eastAsia="Times New Roman" w:hAnsi="Selawik" w:cs="Arial"/>
          <w:sz w:val="22"/>
          <w:lang w:eastAsia="fr-FR"/>
        </w:rPr>
      </w:pPr>
      <w:r w:rsidRPr="004044D9">
        <w:rPr>
          <w:rFonts w:ascii="Selawik" w:eastAsia="Times New Roman" w:hAnsi="Selawik" w:cs="Arial"/>
          <w:sz w:val="22"/>
          <w:lang w:eastAsia="fr-FR"/>
        </w:rPr>
        <w:t xml:space="preserve">La présente déclaration de projet </w:t>
      </w:r>
      <w:r w:rsidR="00E01BDB">
        <w:rPr>
          <w:rFonts w:ascii="Selawik" w:eastAsia="Times New Roman" w:hAnsi="Selawik" w:cs="Arial"/>
          <w:sz w:val="22"/>
          <w:lang w:eastAsia="fr-FR"/>
        </w:rPr>
        <w:t xml:space="preserve">a pour objet de </w:t>
      </w:r>
      <w:r w:rsidR="00456BB8">
        <w:rPr>
          <w:rFonts w:ascii="Selawik" w:eastAsia="Times New Roman" w:hAnsi="Selawik" w:cs="Arial"/>
          <w:sz w:val="22"/>
          <w:lang w:eastAsia="fr-FR"/>
        </w:rPr>
        <w:t xml:space="preserve">permettre l’extension de la carrière en exploitation </w:t>
      </w:r>
      <w:r w:rsidRPr="004044D9">
        <w:rPr>
          <w:rFonts w:ascii="Selawik" w:eastAsia="Times New Roman" w:hAnsi="Selawik" w:cs="Arial"/>
          <w:sz w:val="22"/>
          <w:lang w:eastAsia="fr-FR"/>
        </w:rPr>
        <w:t xml:space="preserve">sur le </w:t>
      </w:r>
      <w:r>
        <w:rPr>
          <w:rFonts w:ascii="Selawik" w:eastAsia="Times New Roman" w:hAnsi="Selawik" w:cs="Arial"/>
          <w:sz w:val="22"/>
          <w:lang w:eastAsia="fr-FR"/>
        </w:rPr>
        <w:t xml:space="preserve">territoire </w:t>
      </w:r>
      <w:r w:rsidRPr="004044D9">
        <w:rPr>
          <w:rFonts w:ascii="Selawik" w:eastAsia="Times New Roman" w:hAnsi="Selawik" w:cs="Arial"/>
          <w:sz w:val="22"/>
          <w:lang w:eastAsia="fr-FR"/>
        </w:rPr>
        <w:t xml:space="preserve">communal de </w:t>
      </w:r>
      <w:r w:rsidR="00CF3E8D">
        <w:rPr>
          <w:rFonts w:ascii="Selawik" w:eastAsia="Times New Roman" w:hAnsi="Selawik" w:cs="Arial"/>
          <w:sz w:val="22"/>
          <w:lang w:eastAsia="fr-FR"/>
        </w:rPr>
        <w:t>Sully-sur-Loire</w:t>
      </w:r>
      <w:r w:rsidR="00E01BDB">
        <w:rPr>
          <w:rFonts w:ascii="Selawik" w:eastAsia="Times New Roman" w:hAnsi="Selawik" w:cs="Arial"/>
          <w:sz w:val="22"/>
          <w:lang w:eastAsia="fr-FR"/>
        </w:rPr>
        <w:t xml:space="preserve"> </w:t>
      </w:r>
      <w:r w:rsidR="009E4DBA">
        <w:rPr>
          <w:rFonts w:ascii="Selawik" w:eastAsia="Times New Roman" w:hAnsi="Selawik" w:cs="Arial"/>
          <w:sz w:val="22"/>
          <w:lang w:eastAsia="fr-FR"/>
        </w:rPr>
        <w:t>dans le Loiret</w:t>
      </w:r>
      <w:r w:rsidR="00E01BDB">
        <w:rPr>
          <w:rFonts w:ascii="Selawik" w:eastAsia="Times New Roman" w:hAnsi="Selawik" w:cs="Arial"/>
          <w:sz w:val="22"/>
          <w:lang w:eastAsia="fr-FR"/>
        </w:rPr>
        <w:t>. Cette déclaration de projet emportera</w:t>
      </w:r>
      <w:r w:rsidRPr="004044D9">
        <w:rPr>
          <w:rFonts w:ascii="Selawik" w:eastAsia="Times New Roman" w:hAnsi="Selawik" w:cs="Arial"/>
          <w:sz w:val="22"/>
          <w:lang w:eastAsia="fr-FR"/>
        </w:rPr>
        <w:t xml:space="preserve"> mise en compatibi</w:t>
      </w:r>
      <w:r>
        <w:rPr>
          <w:rFonts w:ascii="Selawik" w:eastAsia="Times New Roman" w:hAnsi="Selawik" w:cs="Arial"/>
          <w:sz w:val="22"/>
          <w:lang w:eastAsia="fr-FR"/>
        </w:rPr>
        <w:t xml:space="preserve">lité du Plan Local d’Urbanisme </w:t>
      </w:r>
      <w:r w:rsidR="009E4DBA">
        <w:rPr>
          <w:rFonts w:ascii="Selawik" w:eastAsia="Times New Roman" w:hAnsi="Selawik" w:cs="Arial"/>
          <w:sz w:val="22"/>
          <w:lang w:eastAsia="fr-FR"/>
        </w:rPr>
        <w:t xml:space="preserve">et </w:t>
      </w:r>
      <w:r w:rsidRPr="004044D9">
        <w:rPr>
          <w:rFonts w:ascii="Selawik" w:eastAsia="Times New Roman" w:hAnsi="Selawik" w:cs="Arial"/>
          <w:sz w:val="22"/>
          <w:lang w:eastAsia="fr-FR"/>
        </w:rPr>
        <w:t>est menée par la</w:t>
      </w:r>
      <w:r w:rsidRPr="004044D9">
        <w:rPr>
          <w:rFonts w:ascii="Calibri" w:eastAsia="Times New Roman" w:hAnsi="Calibri" w:cs="Calibri"/>
          <w:sz w:val="22"/>
          <w:lang w:eastAsia="fr-FR"/>
        </w:rPr>
        <w:t> </w:t>
      </w:r>
      <w:r w:rsidRPr="004044D9">
        <w:rPr>
          <w:rFonts w:ascii="Selawik" w:eastAsia="Times New Roman" w:hAnsi="Selawik" w:cs="Arial"/>
          <w:sz w:val="22"/>
          <w:lang w:eastAsia="fr-FR"/>
        </w:rPr>
        <w:t>:</w:t>
      </w:r>
    </w:p>
    <w:p w14:paraId="4B1DA6F3" w14:textId="26E72963" w:rsidR="0008613E" w:rsidRPr="004044D9" w:rsidRDefault="0008613E" w:rsidP="00C846FC">
      <w:pPr>
        <w:spacing w:after="60" w:line="278" w:lineRule="auto"/>
        <w:jc w:val="center"/>
        <w:rPr>
          <w:rFonts w:ascii="Selawik" w:eastAsia="Times New Roman" w:hAnsi="Selawik" w:cs="Arial"/>
          <w:b/>
          <w:bCs/>
          <w:sz w:val="22"/>
          <w:lang w:eastAsia="fr-FR"/>
        </w:rPr>
      </w:pPr>
      <w:r w:rsidRPr="004044D9">
        <w:rPr>
          <w:rFonts w:ascii="Selawik" w:eastAsia="Times New Roman" w:hAnsi="Selawik" w:cs="Arial"/>
          <w:b/>
          <w:bCs/>
          <w:sz w:val="22"/>
          <w:lang w:eastAsia="fr-FR"/>
        </w:rPr>
        <w:t xml:space="preserve">Commune de </w:t>
      </w:r>
      <w:r w:rsidR="00CF3E8D">
        <w:rPr>
          <w:rFonts w:ascii="Selawik" w:eastAsia="Times New Roman" w:hAnsi="Selawik" w:cs="Arial"/>
          <w:b/>
          <w:bCs/>
          <w:sz w:val="22"/>
          <w:lang w:eastAsia="fr-FR"/>
        </w:rPr>
        <w:t>Sully-sur-Loire</w:t>
      </w:r>
    </w:p>
    <w:p w14:paraId="4B9A99FC" w14:textId="27159714" w:rsidR="0008613E" w:rsidRPr="004044D9" w:rsidRDefault="0008613E" w:rsidP="00C846FC">
      <w:pPr>
        <w:spacing w:after="60" w:line="278" w:lineRule="auto"/>
        <w:jc w:val="center"/>
        <w:rPr>
          <w:rFonts w:ascii="Selawik" w:eastAsia="Times New Roman" w:hAnsi="Selawik" w:cs="Arial"/>
          <w:sz w:val="22"/>
          <w:lang w:eastAsia="fr-FR"/>
        </w:rPr>
      </w:pPr>
      <w:r w:rsidRPr="004044D9">
        <w:rPr>
          <w:rFonts w:ascii="Selawik" w:eastAsia="Times New Roman" w:hAnsi="Selawik" w:cs="Arial"/>
          <w:sz w:val="22"/>
          <w:lang w:eastAsia="fr-FR"/>
        </w:rPr>
        <w:t xml:space="preserve">Représentée par M. </w:t>
      </w:r>
      <w:r w:rsidR="00456BB8" w:rsidRPr="00456BB8">
        <w:rPr>
          <w:rFonts w:ascii="Selawik" w:eastAsia="Times New Roman" w:hAnsi="Selawik" w:cs="Arial"/>
          <w:sz w:val="22"/>
          <w:lang w:eastAsia="fr-FR"/>
        </w:rPr>
        <w:t xml:space="preserve">Jean-Luc </w:t>
      </w:r>
      <w:r w:rsidR="00456BB8" w:rsidRPr="00456BB8">
        <w:rPr>
          <w:rFonts w:ascii="Selawik" w:eastAsia="Times New Roman" w:hAnsi="Selawik" w:cs="Arial"/>
          <w:caps/>
          <w:sz w:val="22"/>
          <w:lang w:eastAsia="fr-FR"/>
        </w:rPr>
        <w:t>Riglet</w:t>
      </w:r>
      <w:r w:rsidRPr="004044D9">
        <w:rPr>
          <w:rFonts w:ascii="Selawik" w:eastAsia="Times New Roman" w:hAnsi="Selawik" w:cs="Arial"/>
          <w:sz w:val="22"/>
          <w:lang w:eastAsia="fr-FR"/>
        </w:rPr>
        <w:t>, le Maire</w:t>
      </w:r>
    </w:p>
    <w:p w14:paraId="36D6F490" w14:textId="77777777" w:rsidR="00456BB8" w:rsidRDefault="00456BB8" w:rsidP="00C846FC">
      <w:pPr>
        <w:spacing w:after="60" w:line="278" w:lineRule="auto"/>
        <w:jc w:val="center"/>
        <w:rPr>
          <w:rFonts w:ascii="Selawik" w:eastAsia="Times New Roman" w:hAnsi="Selawik" w:cs="Arial"/>
          <w:sz w:val="22"/>
          <w:lang w:eastAsia="fr-FR"/>
        </w:rPr>
      </w:pPr>
      <w:r w:rsidRPr="00456BB8">
        <w:rPr>
          <w:rFonts w:ascii="Selawik" w:eastAsia="Times New Roman" w:hAnsi="Selawik" w:cs="Arial"/>
          <w:sz w:val="22"/>
          <w:lang w:eastAsia="fr-FR"/>
        </w:rPr>
        <w:t xml:space="preserve">3 Place Maurice de Sully </w:t>
      </w:r>
    </w:p>
    <w:p w14:paraId="05122CFF" w14:textId="631EFCD9" w:rsidR="0008613E" w:rsidRDefault="00456BB8" w:rsidP="00C846FC">
      <w:pPr>
        <w:spacing w:after="60" w:line="278" w:lineRule="auto"/>
        <w:jc w:val="center"/>
        <w:rPr>
          <w:rFonts w:ascii="Selawik" w:eastAsia="Times New Roman" w:hAnsi="Selawik" w:cs="Arial"/>
          <w:sz w:val="22"/>
          <w:lang w:eastAsia="fr-FR"/>
        </w:rPr>
      </w:pPr>
      <w:r>
        <w:rPr>
          <w:rFonts w:ascii="Selawik" w:eastAsia="Times New Roman" w:hAnsi="Selawik" w:cs="Arial"/>
          <w:sz w:val="22"/>
          <w:lang w:eastAsia="fr-FR"/>
        </w:rPr>
        <w:t>45600</w:t>
      </w:r>
      <w:r w:rsidR="0008613E" w:rsidRPr="004044D9">
        <w:rPr>
          <w:rFonts w:ascii="Calibri" w:eastAsia="Times New Roman" w:hAnsi="Calibri" w:cs="Calibri"/>
          <w:sz w:val="22"/>
          <w:lang w:eastAsia="fr-FR"/>
        </w:rPr>
        <w:t> </w:t>
      </w:r>
      <w:r w:rsidR="00CF3E8D" w:rsidRPr="00456BB8">
        <w:rPr>
          <w:rFonts w:ascii="Selawik" w:eastAsia="Times New Roman" w:hAnsi="Selawik" w:cs="Arial"/>
          <w:caps/>
          <w:sz w:val="22"/>
          <w:lang w:eastAsia="fr-FR"/>
        </w:rPr>
        <w:t>Sully-sur-Loire</w:t>
      </w:r>
    </w:p>
    <w:p w14:paraId="1D666DCC" w14:textId="47CF3BE8" w:rsidR="00456BB8" w:rsidRPr="00456BB8" w:rsidRDefault="00456BB8" w:rsidP="00C846FC">
      <w:pPr>
        <w:spacing w:after="60" w:line="278" w:lineRule="auto"/>
        <w:jc w:val="center"/>
        <w:rPr>
          <w:rFonts w:ascii="Selawik" w:eastAsia="Times New Roman" w:hAnsi="Selawik" w:cs="Arial"/>
          <w:sz w:val="22"/>
          <w:lang w:eastAsia="fr-FR"/>
        </w:rPr>
      </w:pPr>
      <w:r w:rsidRPr="00456BB8">
        <w:rPr>
          <w:rFonts w:ascii="Selawik" w:eastAsia="Times New Roman" w:hAnsi="Selawik" w:cs="Arial"/>
          <w:sz w:val="22"/>
          <w:lang w:eastAsia="fr-FR"/>
        </w:rPr>
        <w:t xml:space="preserve">02 38 36 </w:t>
      </w:r>
      <w:r w:rsidR="004D5499">
        <w:rPr>
          <w:rFonts w:ascii="Selawik" w:eastAsia="Times New Roman" w:hAnsi="Selawik" w:cs="Arial"/>
          <w:sz w:val="22"/>
          <w:lang w:eastAsia="fr-FR"/>
        </w:rPr>
        <w:t>20</w:t>
      </w:r>
      <w:r w:rsidRPr="00456BB8">
        <w:rPr>
          <w:rFonts w:ascii="Selawik" w:eastAsia="Times New Roman" w:hAnsi="Selawik" w:cs="Arial"/>
          <w:sz w:val="22"/>
          <w:lang w:eastAsia="fr-FR"/>
        </w:rPr>
        <w:t xml:space="preserve"> 08</w:t>
      </w:r>
    </w:p>
    <w:p w14:paraId="320CA0EB" w14:textId="7F2C02C5" w:rsidR="00483FF8" w:rsidRDefault="005C66C0" w:rsidP="006F68CE">
      <w:pPr>
        <w:spacing w:after="60" w:line="278" w:lineRule="auto"/>
        <w:jc w:val="center"/>
        <w:rPr>
          <w:rFonts w:ascii="Selawik" w:eastAsia="Times New Roman" w:hAnsi="Selawik" w:cs="Arial"/>
          <w:sz w:val="22"/>
          <w:lang w:eastAsia="fr-FR"/>
        </w:rPr>
      </w:pPr>
      <w:hyperlink r:id="rId16" w:history="1">
        <w:r w:rsidR="0061785B" w:rsidRPr="008606B4">
          <w:rPr>
            <w:rStyle w:val="Lienhypertexte"/>
            <w:rFonts w:ascii="Selawik" w:eastAsia="Times New Roman" w:hAnsi="Selawik" w:cs="Arial"/>
            <w:sz w:val="22"/>
            <w:lang w:eastAsia="fr-FR"/>
          </w:rPr>
          <w:t>accueil.mairie@sully45.com</w:t>
        </w:r>
      </w:hyperlink>
    </w:p>
    <w:p w14:paraId="76EA0B87" w14:textId="0BC927E4" w:rsidR="00B57A3C" w:rsidRDefault="00B57A3C" w:rsidP="006F68CE">
      <w:pPr>
        <w:spacing w:after="60" w:line="278" w:lineRule="auto"/>
        <w:jc w:val="center"/>
        <w:rPr>
          <w:rFonts w:ascii="Selawik" w:eastAsia="Times New Roman" w:hAnsi="Selawik" w:cs="Arial"/>
          <w:sz w:val="22"/>
          <w:lang w:eastAsia="fr-FR"/>
        </w:rPr>
      </w:pPr>
    </w:p>
    <w:p w14:paraId="6AB64B5A" w14:textId="77777777" w:rsidR="00BA03FD" w:rsidRPr="00567E25" w:rsidRDefault="00BA03FD" w:rsidP="00BA03FD">
      <w:pPr>
        <w:spacing w:before="120" w:line="278" w:lineRule="auto"/>
        <w:rPr>
          <w:rFonts w:ascii="Selawik" w:eastAsia="Times New Roman" w:hAnsi="Selawik" w:cs="Arial"/>
          <w:i/>
          <w:iCs/>
          <w:sz w:val="22"/>
          <w:lang w:eastAsia="fr-FR"/>
        </w:rPr>
      </w:pPr>
      <w:r>
        <w:rPr>
          <w:rFonts w:ascii="Selawik" w:eastAsia="Times New Roman" w:hAnsi="Selawik" w:cs="Arial"/>
          <w:i/>
          <w:iCs/>
          <w:sz w:val="22"/>
          <w:lang w:eastAsia="fr-FR"/>
        </w:rPr>
        <w:t xml:space="preserve">Par délibération du 20 septembre 2021, le Conseil municipal de la commune de Sully-sur-Loire a </w:t>
      </w:r>
      <w:r w:rsidRPr="00567E25">
        <w:rPr>
          <w:rFonts w:ascii="Selawik" w:eastAsia="Times New Roman" w:hAnsi="Selawik" w:cs="Arial"/>
          <w:i/>
          <w:iCs/>
          <w:sz w:val="22"/>
          <w:lang w:eastAsia="fr-FR"/>
        </w:rPr>
        <w:t xml:space="preserve">approuvé le transfert de la compétence PLU à la Communauté de communes du Val de Sully, suite à la délibération du Conseil </w:t>
      </w:r>
      <w:r>
        <w:rPr>
          <w:rFonts w:ascii="Selawik" w:eastAsia="Times New Roman" w:hAnsi="Selawik" w:cs="Arial"/>
          <w:i/>
          <w:iCs/>
          <w:sz w:val="22"/>
          <w:lang w:eastAsia="fr-FR"/>
        </w:rPr>
        <w:t>c</w:t>
      </w:r>
      <w:r w:rsidRPr="00567E25">
        <w:rPr>
          <w:rFonts w:ascii="Selawik" w:eastAsia="Times New Roman" w:hAnsi="Selawik" w:cs="Arial"/>
          <w:i/>
          <w:iCs/>
          <w:sz w:val="22"/>
          <w:lang w:eastAsia="fr-FR"/>
        </w:rPr>
        <w:t>ommunautaire du 6 juillet 2021. Cette dernière est devenue compétente en la matière à compter du 8 octobre 2021.</w:t>
      </w:r>
    </w:p>
    <w:p w14:paraId="6E75BD65" w14:textId="7C7AE65F" w:rsidR="00BA03FD" w:rsidRPr="00567E25" w:rsidRDefault="00BA03FD" w:rsidP="00BA03FD">
      <w:pPr>
        <w:spacing w:before="120" w:line="278" w:lineRule="auto"/>
        <w:rPr>
          <w:rFonts w:ascii="Selawik" w:eastAsia="Times New Roman" w:hAnsi="Selawik" w:cs="Arial"/>
          <w:i/>
          <w:iCs/>
          <w:sz w:val="22"/>
          <w:lang w:eastAsia="fr-FR"/>
        </w:rPr>
      </w:pPr>
      <w:r w:rsidRPr="00567E25">
        <w:rPr>
          <w:rFonts w:ascii="Selawik" w:eastAsia="Times New Roman" w:hAnsi="Selawik" w:cs="Arial"/>
          <w:i/>
          <w:iCs/>
          <w:sz w:val="22"/>
          <w:lang w:eastAsia="fr-FR"/>
        </w:rPr>
        <w:t xml:space="preserve">Conformément à l’article L.153-9 du Code de l’urbanisme, la Communauté de communes du Val de Sully détient seule la capacité de poursuivre les procédures d’élaboration ou d’évolution du </w:t>
      </w:r>
      <w:r w:rsidRPr="00567E25">
        <w:rPr>
          <w:rFonts w:ascii="Selawik" w:eastAsia="Times New Roman" w:hAnsi="Selawik" w:cs="Arial"/>
          <w:i/>
          <w:iCs/>
          <w:sz w:val="22"/>
          <w:lang w:eastAsia="fr-FR"/>
        </w:rPr>
        <w:lastRenderedPageBreak/>
        <w:t>document d’urbanisme engagées avant sa prise de compétence. La procédure ayant été engagée par la Commune, l’accord de celle-ci est requis.</w:t>
      </w:r>
    </w:p>
    <w:p w14:paraId="35EFB5A4" w14:textId="77777777" w:rsidR="00BA03FD" w:rsidRPr="00567E25" w:rsidRDefault="00BA03FD" w:rsidP="00BA03FD">
      <w:pPr>
        <w:spacing w:before="120" w:line="278" w:lineRule="auto"/>
        <w:rPr>
          <w:rFonts w:ascii="Selawik" w:eastAsia="Times New Roman" w:hAnsi="Selawik" w:cs="Arial"/>
          <w:i/>
          <w:iCs/>
          <w:sz w:val="22"/>
          <w:lang w:eastAsia="fr-FR"/>
        </w:rPr>
      </w:pPr>
      <w:r>
        <w:rPr>
          <w:rFonts w:ascii="Selawik" w:eastAsia="Times New Roman" w:hAnsi="Selawik" w:cs="Arial"/>
          <w:i/>
          <w:iCs/>
          <w:sz w:val="22"/>
          <w:lang w:eastAsia="fr-FR"/>
        </w:rPr>
        <w:t xml:space="preserve">La commune de Sully-sur-Loire a alors approuvé par délibération du 23 mars 2022 la poursuite de la procédure de déclaration de projet par la Communauté de communes du Val de Sully. </w:t>
      </w:r>
      <w:r w:rsidRPr="00567E25">
        <w:rPr>
          <w:rFonts w:ascii="Selawik" w:eastAsia="Times New Roman" w:hAnsi="Selawik" w:cs="Arial"/>
          <w:i/>
          <w:iCs/>
          <w:sz w:val="22"/>
          <w:lang w:eastAsia="fr-FR"/>
        </w:rPr>
        <w:t xml:space="preserve">Les étapes restantes de la procédure, à savoir l’enquête publique, les mesures de publicité et l’approbation de la déclaration de projet, </w:t>
      </w:r>
      <w:r>
        <w:rPr>
          <w:rFonts w:ascii="Selawik" w:eastAsia="Times New Roman" w:hAnsi="Selawik" w:cs="Arial"/>
          <w:i/>
          <w:iCs/>
          <w:sz w:val="22"/>
          <w:lang w:eastAsia="fr-FR"/>
        </w:rPr>
        <w:t>sont</w:t>
      </w:r>
      <w:r w:rsidRPr="00567E25">
        <w:rPr>
          <w:rFonts w:ascii="Selawik" w:eastAsia="Times New Roman" w:hAnsi="Selawik" w:cs="Arial"/>
          <w:i/>
          <w:iCs/>
          <w:sz w:val="22"/>
          <w:lang w:eastAsia="fr-FR"/>
        </w:rPr>
        <w:t xml:space="preserve"> menées par la Communauté de communes du Val de Sully.</w:t>
      </w:r>
    </w:p>
    <w:p w14:paraId="3D8F8D76" w14:textId="5360A846" w:rsidR="00B57A3C" w:rsidRPr="00BA03FD" w:rsidRDefault="00BA03FD" w:rsidP="00BA03FD">
      <w:pPr>
        <w:spacing w:before="120" w:line="278" w:lineRule="auto"/>
        <w:rPr>
          <w:rFonts w:ascii="Selawik" w:eastAsia="Times New Roman" w:hAnsi="Selawik" w:cs="Arial"/>
          <w:i/>
          <w:iCs/>
          <w:sz w:val="22"/>
          <w:lang w:eastAsia="fr-FR"/>
        </w:rPr>
      </w:pPr>
      <w:r>
        <w:rPr>
          <w:rFonts w:ascii="Selawik" w:eastAsia="Times New Roman" w:hAnsi="Selawik" w:cs="Arial"/>
          <w:i/>
          <w:iCs/>
          <w:sz w:val="22"/>
          <w:lang w:eastAsia="fr-FR"/>
        </w:rPr>
        <w:t>La Communauté de communes du Val de Sully ne disposant pas des moyens humains nécessaires pour poursuivre la procédure, elle et l</w:t>
      </w:r>
      <w:r w:rsidRPr="00634CE9">
        <w:rPr>
          <w:rFonts w:ascii="Selawik" w:eastAsia="Times New Roman" w:hAnsi="Selawik" w:cs="Arial"/>
          <w:i/>
          <w:iCs/>
          <w:sz w:val="22"/>
          <w:lang w:eastAsia="fr-FR"/>
        </w:rPr>
        <w:t>a</w:t>
      </w:r>
      <w:r>
        <w:rPr>
          <w:rFonts w:ascii="Selawik" w:eastAsia="Times New Roman" w:hAnsi="Selawik" w:cs="Arial"/>
          <w:i/>
          <w:iCs/>
          <w:sz w:val="22"/>
          <w:lang w:eastAsia="fr-FR"/>
        </w:rPr>
        <w:t xml:space="preserve"> commune de Sully-sur-Loire ont approuvé,</w:t>
      </w:r>
      <w:r w:rsidRPr="00634CE9">
        <w:rPr>
          <w:rFonts w:ascii="Selawik" w:eastAsia="Times New Roman" w:hAnsi="Selawik" w:cs="Arial"/>
          <w:i/>
          <w:iCs/>
          <w:sz w:val="22"/>
          <w:lang w:eastAsia="fr-FR"/>
        </w:rPr>
        <w:t xml:space="preserve"> </w:t>
      </w:r>
      <w:r>
        <w:rPr>
          <w:rFonts w:ascii="Selawik" w:eastAsia="Times New Roman" w:hAnsi="Selawik" w:cs="Arial"/>
          <w:i/>
          <w:iCs/>
          <w:sz w:val="22"/>
          <w:lang w:eastAsia="fr-FR"/>
        </w:rPr>
        <w:t xml:space="preserve">par délibération respectives du 15 mars 2022 et du 25 avril 2022, </w:t>
      </w:r>
      <w:r w:rsidRPr="00634CE9">
        <w:rPr>
          <w:rFonts w:ascii="Selawik" w:eastAsia="Times New Roman" w:hAnsi="Selawik" w:cs="Arial"/>
          <w:i/>
          <w:iCs/>
          <w:sz w:val="22"/>
          <w:lang w:eastAsia="fr-FR"/>
        </w:rPr>
        <w:t xml:space="preserve">la ratification d'une convention de gestion de services pour l'exercice de la compétence PLU. </w:t>
      </w:r>
    </w:p>
    <w:p w14:paraId="29862B38" w14:textId="25B9DD04" w:rsidR="00B1529B" w:rsidRDefault="00B1529B" w:rsidP="00EF3E04">
      <w:pPr>
        <w:pStyle w:val="Titre1"/>
      </w:pPr>
      <w:bookmarkStart w:id="14" w:name="_Toc99556085"/>
      <w:r>
        <w:t>Pr</w:t>
      </w:r>
      <w:r w:rsidR="00C950AD">
        <w:t>É</w:t>
      </w:r>
      <w:r>
        <w:t>sentation de l’objet de la d</w:t>
      </w:r>
      <w:r w:rsidR="00C950AD">
        <w:t>É</w:t>
      </w:r>
      <w:r>
        <w:t>claration de projet</w:t>
      </w:r>
      <w:bookmarkEnd w:id="14"/>
      <w:r>
        <w:t xml:space="preserve"> </w:t>
      </w:r>
    </w:p>
    <w:p w14:paraId="1B34C0A3" w14:textId="77777777" w:rsidR="00B1529B" w:rsidRDefault="00B1529B" w:rsidP="00C846FC">
      <w:pPr>
        <w:pStyle w:val="Titre3"/>
        <w:spacing w:line="278" w:lineRule="auto"/>
      </w:pPr>
      <w:bookmarkStart w:id="15" w:name="_Toc99556086"/>
      <w:r>
        <w:t>Contexte de la déclaration de projet</w:t>
      </w:r>
      <w:bookmarkEnd w:id="15"/>
    </w:p>
    <w:p w14:paraId="254EA88B" w14:textId="3746B1D0" w:rsidR="00C94247" w:rsidRPr="00C94247" w:rsidRDefault="00C94247" w:rsidP="00C846FC">
      <w:pPr>
        <w:spacing w:line="278" w:lineRule="auto"/>
        <w:rPr>
          <w:rFonts w:ascii="Selawik" w:hAnsi="Selawik"/>
          <w:sz w:val="23"/>
          <w:szCs w:val="23"/>
        </w:rPr>
      </w:pPr>
      <w:r w:rsidRPr="00C94247">
        <w:rPr>
          <w:rFonts w:ascii="Selawik" w:hAnsi="Selawik"/>
          <w:sz w:val="23"/>
          <w:szCs w:val="23"/>
        </w:rPr>
        <w:t xml:space="preserve">La </w:t>
      </w:r>
      <w:r w:rsidRPr="00793F45">
        <w:rPr>
          <w:rFonts w:ascii="Selawik" w:hAnsi="Selawik"/>
          <w:b/>
          <w:sz w:val="23"/>
          <w:szCs w:val="23"/>
        </w:rPr>
        <w:t xml:space="preserve">société </w:t>
      </w:r>
      <w:r w:rsidR="009479AF">
        <w:rPr>
          <w:rFonts w:ascii="Selawik" w:hAnsi="Selawik"/>
          <w:b/>
          <w:sz w:val="23"/>
          <w:szCs w:val="23"/>
        </w:rPr>
        <w:t>EQIOM Granulats</w:t>
      </w:r>
      <w:r w:rsidRPr="00C94247">
        <w:rPr>
          <w:rFonts w:ascii="Selawik" w:hAnsi="Selawik"/>
          <w:sz w:val="23"/>
          <w:szCs w:val="23"/>
        </w:rPr>
        <w:t xml:space="preserve"> (anciennement HOLCIM GRANULATS) exploite une carrière de sables et</w:t>
      </w:r>
      <w:r>
        <w:rPr>
          <w:rFonts w:ascii="Selawik" w:hAnsi="Selawik"/>
          <w:sz w:val="23"/>
          <w:szCs w:val="23"/>
        </w:rPr>
        <w:t xml:space="preserve"> </w:t>
      </w:r>
      <w:r w:rsidRPr="00C94247">
        <w:rPr>
          <w:rFonts w:ascii="Selawik" w:hAnsi="Selawik"/>
          <w:sz w:val="23"/>
          <w:szCs w:val="23"/>
        </w:rPr>
        <w:t>de graviers sur la commune de Sully-sur-Loire (45) au lieu-dit La Brosse.</w:t>
      </w:r>
      <w:r w:rsidR="00793F45">
        <w:rPr>
          <w:rFonts w:ascii="Selawik" w:hAnsi="Selawik"/>
          <w:sz w:val="23"/>
          <w:szCs w:val="23"/>
        </w:rPr>
        <w:t xml:space="preserve"> </w:t>
      </w:r>
      <w:r w:rsidRPr="00793F45">
        <w:rPr>
          <w:rFonts w:ascii="Selawik" w:hAnsi="Selawik"/>
          <w:b/>
          <w:sz w:val="23"/>
          <w:szCs w:val="23"/>
        </w:rPr>
        <w:t>L’activité de la carrière a débuté en 1965</w:t>
      </w:r>
      <w:r w:rsidRPr="00C94247">
        <w:rPr>
          <w:rFonts w:ascii="Selawik" w:hAnsi="Selawik"/>
          <w:sz w:val="23"/>
          <w:szCs w:val="23"/>
        </w:rPr>
        <w:t xml:space="preserve"> et cette exploitation a fait l’objet de l’arrêté préfectoral du</w:t>
      </w:r>
      <w:r w:rsidR="00793F45">
        <w:rPr>
          <w:rFonts w:ascii="Selawik" w:hAnsi="Selawik"/>
          <w:sz w:val="23"/>
          <w:szCs w:val="23"/>
        </w:rPr>
        <w:t xml:space="preserve"> </w:t>
      </w:r>
      <w:r w:rsidRPr="00C94247">
        <w:rPr>
          <w:rFonts w:ascii="Selawik" w:hAnsi="Selawik"/>
          <w:sz w:val="23"/>
          <w:szCs w:val="23"/>
        </w:rPr>
        <w:t>20 décembre 2004 qui « autorise la Société HOLCIM GRANULATS à poursuivre l’exploitation d’une</w:t>
      </w:r>
      <w:r w:rsidR="00793F45">
        <w:rPr>
          <w:rFonts w:ascii="Selawik" w:hAnsi="Selawik"/>
          <w:sz w:val="23"/>
          <w:szCs w:val="23"/>
        </w:rPr>
        <w:t xml:space="preserve"> </w:t>
      </w:r>
      <w:r w:rsidRPr="00C94247">
        <w:rPr>
          <w:rFonts w:ascii="Selawik" w:hAnsi="Selawik"/>
          <w:sz w:val="23"/>
          <w:szCs w:val="23"/>
        </w:rPr>
        <w:t xml:space="preserve">carrière située à Sully-sur-Loire, aux lieux-dits « Le Parc à </w:t>
      </w:r>
      <w:r w:rsidR="00A8178E" w:rsidRPr="00C94247">
        <w:rPr>
          <w:rFonts w:ascii="Selawik" w:hAnsi="Selawik"/>
          <w:sz w:val="23"/>
          <w:szCs w:val="23"/>
        </w:rPr>
        <w:t>Cœur</w:t>
      </w:r>
      <w:r w:rsidRPr="00C94247">
        <w:rPr>
          <w:rFonts w:ascii="Selawik" w:hAnsi="Selawik"/>
          <w:sz w:val="23"/>
          <w:szCs w:val="23"/>
        </w:rPr>
        <w:t xml:space="preserve"> », « La Petite Croix », « Grande Pièce</w:t>
      </w:r>
      <w:r w:rsidR="00793F45">
        <w:rPr>
          <w:rFonts w:ascii="Selawik" w:hAnsi="Selawik"/>
          <w:sz w:val="23"/>
          <w:szCs w:val="23"/>
        </w:rPr>
        <w:t xml:space="preserve"> </w:t>
      </w:r>
      <w:r w:rsidRPr="00C94247">
        <w:rPr>
          <w:rFonts w:ascii="Selawik" w:hAnsi="Selawik"/>
          <w:sz w:val="23"/>
          <w:szCs w:val="23"/>
        </w:rPr>
        <w:t>de La Brosse » et « Fosse Féronne » et d’en modifier les conditions d’exploitation ».</w:t>
      </w:r>
    </w:p>
    <w:p w14:paraId="6464B1A0" w14:textId="770FBEB8" w:rsidR="00793F45" w:rsidRPr="00793F45" w:rsidRDefault="00C94247" w:rsidP="00C846FC">
      <w:pPr>
        <w:spacing w:line="278" w:lineRule="auto"/>
        <w:rPr>
          <w:rFonts w:ascii="Selawik" w:hAnsi="Selawik"/>
          <w:sz w:val="23"/>
          <w:szCs w:val="23"/>
        </w:rPr>
      </w:pPr>
      <w:r w:rsidRPr="00C94247">
        <w:rPr>
          <w:rFonts w:ascii="Selawik" w:hAnsi="Selawik"/>
          <w:sz w:val="23"/>
          <w:szCs w:val="23"/>
        </w:rPr>
        <w:t>Cette autorisation d’exploiter portait sur une surface totale de 79 ha 64 a 85 ca. Elle était limitée à une</w:t>
      </w:r>
      <w:r w:rsidR="00793F45">
        <w:rPr>
          <w:rFonts w:ascii="Selawik" w:hAnsi="Selawik"/>
          <w:sz w:val="23"/>
          <w:szCs w:val="23"/>
        </w:rPr>
        <w:t xml:space="preserve"> </w:t>
      </w:r>
      <w:r w:rsidRPr="00C94247">
        <w:rPr>
          <w:rFonts w:ascii="Selawik" w:hAnsi="Selawik"/>
          <w:sz w:val="23"/>
          <w:szCs w:val="23"/>
        </w:rPr>
        <w:t>durée de 13 ans à compter du 20 décembre 2004, soit au 19 décembre 2017.</w:t>
      </w:r>
      <w:r w:rsidR="00276A87">
        <w:rPr>
          <w:rFonts w:ascii="Selawik" w:hAnsi="Selawik"/>
          <w:sz w:val="23"/>
          <w:szCs w:val="23"/>
        </w:rPr>
        <w:t xml:space="preserve"> </w:t>
      </w:r>
      <w:r w:rsidRPr="00C94247">
        <w:rPr>
          <w:rFonts w:ascii="Selawik" w:hAnsi="Selawik"/>
          <w:sz w:val="23"/>
          <w:szCs w:val="23"/>
        </w:rPr>
        <w:t>En 2014, un dossier de demande d’extension de l’exploitation ainsi que de renouvellement de</w:t>
      </w:r>
      <w:r w:rsidR="00793F45">
        <w:rPr>
          <w:rFonts w:ascii="Selawik" w:hAnsi="Selawik"/>
          <w:sz w:val="23"/>
          <w:szCs w:val="23"/>
        </w:rPr>
        <w:t xml:space="preserve"> </w:t>
      </w:r>
      <w:r w:rsidRPr="00C94247">
        <w:rPr>
          <w:rFonts w:ascii="Selawik" w:hAnsi="Selawik"/>
          <w:sz w:val="23"/>
          <w:szCs w:val="23"/>
        </w:rPr>
        <w:t>l’autorisation d’exploitation pour une durée de 24 ans</w:t>
      </w:r>
      <w:r w:rsidR="00793F45">
        <w:rPr>
          <w:rFonts w:ascii="Selawik" w:hAnsi="Selawik"/>
          <w:sz w:val="23"/>
          <w:szCs w:val="23"/>
        </w:rPr>
        <w:t xml:space="preserve"> avait été initié</w:t>
      </w:r>
      <w:r w:rsidRPr="00C94247">
        <w:rPr>
          <w:rFonts w:ascii="Selawik" w:hAnsi="Selawik"/>
          <w:sz w:val="23"/>
          <w:szCs w:val="23"/>
        </w:rPr>
        <w:t>. Cela afin de pouvoir continuer à exploiter le</w:t>
      </w:r>
      <w:r w:rsidR="00793F45">
        <w:rPr>
          <w:rFonts w:ascii="Selawik" w:hAnsi="Selawik"/>
          <w:sz w:val="23"/>
          <w:szCs w:val="23"/>
        </w:rPr>
        <w:t xml:space="preserve"> </w:t>
      </w:r>
      <w:r w:rsidRPr="00C94247">
        <w:rPr>
          <w:rFonts w:ascii="Selawik" w:hAnsi="Selawik"/>
          <w:sz w:val="23"/>
          <w:szCs w:val="23"/>
        </w:rPr>
        <w:t xml:space="preserve">gisement au-delà du 19 décembre 2017. </w:t>
      </w:r>
      <w:r w:rsidRPr="000C0F2E">
        <w:rPr>
          <w:rFonts w:ascii="Selawik" w:hAnsi="Selawik"/>
          <w:color w:val="002060"/>
          <w:sz w:val="23"/>
          <w:szCs w:val="23"/>
          <w:u w:val="single"/>
        </w:rPr>
        <w:t xml:space="preserve">Ce dossier n’avait finalement pas été déposé </w:t>
      </w:r>
      <w:r w:rsidR="00D304EA">
        <w:rPr>
          <w:rFonts w:ascii="Selawik" w:hAnsi="Selawik"/>
          <w:color w:val="002060"/>
          <w:sz w:val="23"/>
          <w:szCs w:val="23"/>
          <w:u w:val="single"/>
        </w:rPr>
        <w:t>en l’état,</w:t>
      </w:r>
      <w:r w:rsidRPr="000C0F2E">
        <w:rPr>
          <w:rFonts w:ascii="Selawik" w:hAnsi="Selawik"/>
          <w:color w:val="002060"/>
          <w:sz w:val="23"/>
          <w:szCs w:val="23"/>
          <w:u w:val="single"/>
        </w:rPr>
        <w:t xml:space="preserve"> car il</w:t>
      </w:r>
      <w:r w:rsidR="00793F45" w:rsidRPr="000C0F2E">
        <w:rPr>
          <w:rFonts w:ascii="Selawik" w:hAnsi="Selawik"/>
          <w:color w:val="002060"/>
          <w:sz w:val="23"/>
          <w:szCs w:val="23"/>
          <w:u w:val="single"/>
        </w:rPr>
        <w:t xml:space="preserve"> </w:t>
      </w:r>
      <w:r w:rsidRPr="000C0F2E">
        <w:rPr>
          <w:rFonts w:ascii="Selawik" w:hAnsi="Selawik"/>
          <w:color w:val="002060"/>
          <w:sz w:val="23"/>
          <w:szCs w:val="23"/>
          <w:u w:val="single"/>
        </w:rPr>
        <w:t>était incompatible avec le plan local d’urbanisme</w:t>
      </w:r>
      <w:r w:rsidR="00276A87">
        <w:rPr>
          <w:rFonts w:ascii="Selawik" w:hAnsi="Selawik"/>
          <w:color w:val="002060"/>
          <w:sz w:val="23"/>
          <w:szCs w:val="23"/>
          <w:u w:val="single"/>
        </w:rPr>
        <w:t xml:space="preserve">. </w:t>
      </w:r>
      <w:r w:rsidR="00793F45" w:rsidRPr="00793F45">
        <w:rPr>
          <w:rFonts w:ascii="Selawik" w:hAnsi="Selawik"/>
          <w:sz w:val="23"/>
          <w:szCs w:val="23"/>
        </w:rPr>
        <w:t>En 2017, l’exploitation a eu l’obtention de l’autorisation de renouvellement et d’extension de</w:t>
      </w:r>
      <w:r w:rsidR="00793F45">
        <w:rPr>
          <w:rFonts w:ascii="Selawik" w:hAnsi="Selawik"/>
          <w:sz w:val="23"/>
          <w:szCs w:val="23"/>
        </w:rPr>
        <w:t xml:space="preserve"> </w:t>
      </w:r>
      <w:r w:rsidR="00793F45" w:rsidRPr="00793F45">
        <w:rPr>
          <w:rFonts w:ascii="Selawik" w:hAnsi="Selawik"/>
          <w:sz w:val="23"/>
          <w:szCs w:val="23"/>
        </w:rPr>
        <w:t>l’exploitation uniquement sur les parcelles AW186, AW187 et AW270, soit sur une surface de 8,12 ha</w:t>
      </w:r>
      <w:r w:rsidR="00793F45">
        <w:rPr>
          <w:rFonts w:ascii="Selawik" w:hAnsi="Selawik"/>
          <w:sz w:val="23"/>
          <w:szCs w:val="23"/>
        </w:rPr>
        <w:t xml:space="preserve"> </w:t>
      </w:r>
      <w:r w:rsidR="00793F45" w:rsidRPr="00793F45">
        <w:rPr>
          <w:rFonts w:ascii="Selawik" w:hAnsi="Selawik"/>
          <w:sz w:val="23"/>
          <w:szCs w:val="23"/>
        </w:rPr>
        <w:t>d’extension au lieu des 46,7 ha demandés (selon le SIG).</w:t>
      </w:r>
    </w:p>
    <w:p w14:paraId="27D95EC4" w14:textId="01D434F4" w:rsidR="0038336C" w:rsidRDefault="009479AF" w:rsidP="0038336C">
      <w:pPr>
        <w:spacing w:line="278" w:lineRule="auto"/>
        <w:rPr>
          <w:rFonts w:ascii="Selawik" w:hAnsi="Selawik"/>
          <w:sz w:val="23"/>
          <w:szCs w:val="23"/>
        </w:rPr>
      </w:pPr>
      <w:r>
        <w:rPr>
          <w:rFonts w:ascii="Selawik" w:hAnsi="Selawik"/>
          <w:sz w:val="23"/>
          <w:szCs w:val="23"/>
        </w:rPr>
        <w:t>EQIOM Granulats</w:t>
      </w:r>
      <w:r w:rsidR="00793F45" w:rsidRPr="00793F45">
        <w:rPr>
          <w:rFonts w:ascii="Selawik" w:hAnsi="Selawik"/>
          <w:sz w:val="23"/>
          <w:szCs w:val="23"/>
        </w:rPr>
        <w:t xml:space="preserve"> souhaite présenter un nouveau projet de renouvellement et d’extension de</w:t>
      </w:r>
      <w:r w:rsidR="00793F45">
        <w:rPr>
          <w:rFonts w:ascii="Selawik" w:hAnsi="Selawik"/>
          <w:sz w:val="23"/>
          <w:szCs w:val="23"/>
        </w:rPr>
        <w:t xml:space="preserve"> </w:t>
      </w:r>
      <w:r w:rsidR="00793F45" w:rsidRPr="00793F45">
        <w:rPr>
          <w:rFonts w:ascii="Selawik" w:hAnsi="Selawik"/>
          <w:sz w:val="23"/>
          <w:szCs w:val="23"/>
        </w:rPr>
        <w:t xml:space="preserve">l’exploitation. </w:t>
      </w:r>
      <w:r w:rsidR="00793F45" w:rsidRPr="00793F45">
        <w:rPr>
          <w:rFonts w:ascii="Selawik" w:hAnsi="Selawik"/>
          <w:b/>
          <w:sz w:val="23"/>
          <w:szCs w:val="23"/>
        </w:rPr>
        <w:t>L’extension porterait sur environ 36,15 ha</w:t>
      </w:r>
      <w:r w:rsidR="00793F45" w:rsidRPr="00793F45">
        <w:rPr>
          <w:rFonts w:ascii="Selawik" w:hAnsi="Selawik"/>
          <w:sz w:val="23"/>
          <w:szCs w:val="23"/>
        </w:rPr>
        <w:t xml:space="preserve"> et le renouvellement sur 45,33 ha. La</w:t>
      </w:r>
      <w:r w:rsidR="00793F45">
        <w:rPr>
          <w:rFonts w:ascii="Selawik" w:hAnsi="Selawik"/>
          <w:sz w:val="23"/>
          <w:szCs w:val="23"/>
        </w:rPr>
        <w:t xml:space="preserve"> </w:t>
      </w:r>
      <w:r w:rsidR="00793F45" w:rsidRPr="00793F45">
        <w:rPr>
          <w:rFonts w:ascii="Selawik" w:hAnsi="Selawik"/>
          <w:sz w:val="23"/>
          <w:szCs w:val="23"/>
        </w:rPr>
        <w:t>demande concerne 20 ans d’extraction, avec un tonnage moyen de 250 000 t/an.</w:t>
      </w:r>
      <w:r w:rsidR="00276A87">
        <w:rPr>
          <w:rFonts w:ascii="Selawik" w:hAnsi="Selawik"/>
          <w:sz w:val="23"/>
          <w:szCs w:val="23"/>
        </w:rPr>
        <w:t xml:space="preserve"> </w:t>
      </w:r>
      <w:r w:rsidR="00793F45" w:rsidRPr="00874F6B">
        <w:rPr>
          <w:rFonts w:ascii="Selawik" w:hAnsi="Selawik"/>
          <w:b/>
          <w:sz w:val="23"/>
          <w:szCs w:val="23"/>
        </w:rPr>
        <w:t>La méthode d’exploitation consiste en l’extraction en eau à l’aide d’une pelle puis traitement sur une installation, sous eau</w:t>
      </w:r>
      <w:r w:rsidR="00793F45" w:rsidRPr="00793F45">
        <w:rPr>
          <w:rFonts w:ascii="Selawik" w:hAnsi="Selawik"/>
          <w:sz w:val="23"/>
          <w:szCs w:val="23"/>
        </w:rPr>
        <w:t xml:space="preserve">. </w:t>
      </w:r>
      <w:r w:rsidR="0038336C" w:rsidRPr="0038336C">
        <w:rPr>
          <w:rFonts w:ascii="Selawik" w:hAnsi="Selawik"/>
          <w:sz w:val="23"/>
          <w:szCs w:val="23"/>
        </w:rPr>
        <w:t>L'eau utilisée pour le lavage des matériaux dans l'installation de traitement est pompée dans le plan d'eau de la Brosse. Les matériaux sont lavés dans l'installation de traitement pour être nettoyés de la fraction argileuse contenue dans le gisement. L'eau chargée en particules fines argileuses est ensuite renvoyée vers un chenal de décantation reliée au plan d'eau de la Brosse. Le circuit d'eau est donc fermé.</w:t>
      </w:r>
    </w:p>
    <w:p w14:paraId="71C5DA44" w14:textId="4961F326" w:rsidR="009729BF" w:rsidRDefault="009729BF" w:rsidP="00276A87">
      <w:pPr>
        <w:spacing w:after="40" w:line="278" w:lineRule="auto"/>
        <w:rPr>
          <w:rFonts w:ascii="Selawik" w:hAnsi="Selawik"/>
          <w:sz w:val="23"/>
          <w:szCs w:val="23"/>
        </w:rPr>
      </w:pPr>
      <w:r w:rsidRPr="009729BF">
        <w:rPr>
          <w:rFonts w:ascii="Selawik" w:hAnsi="Selawik"/>
          <w:sz w:val="23"/>
          <w:szCs w:val="23"/>
        </w:rPr>
        <w:lastRenderedPageBreak/>
        <w:t xml:space="preserve">L’entreprise EQIOM Granulats souhaiterait poursuivre son activité sur ce site historique, et a donc déposé un dossier d'autorisation environnementale pour le renouvellement et l'extension de la carrière. Ce dossier nécessite un </w:t>
      </w:r>
      <w:r w:rsidRPr="009729BF">
        <w:rPr>
          <w:rFonts w:ascii="Selawik" w:hAnsi="Selawik"/>
          <w:b/>
          <w:sz w:val="23"/>
          <w:szCs w:val="23"/>
        </w:rPr>
        <w:t>certain nombre d’études</w:t>
      </w:r>
      <w:r w:rsidRPr="009729BF">
        <w:rPr>
          <w:rFonts w:ascii="Selawik" w:hAnsi="Selawik"/>
          <w:sz w:val="23"/>
          <w:szCs w:val="23"/>
        </w:rPr>
        <w:t xml:space="preserve"> sur lesquelles le présent document s'appuie pour tout ou partie</w:t>
      </w:r>
      <w:r>
        <w:rPr>
          <w:rFonts w:ascii="Calibri" w:hAnsi="Calibri" w:cs="Calibri"/>
          <w:sz w:val="23"/>
          <w:szCs w:val="23"/>
        </w:rPr>
        <w:t> </w:t>
      </w:r>
      <w:r>
        <w:rPr>
          <w:rFonts w:ascii="Selawik" w:hAnsi="Selawik"/>
          <w:sz w:val="23"/>
          <w:szCs w:val="23"/>
        </w:rPr>
        <w:t>:</w:t>
      </w:r>
    </w:p>
    <w:p w14:paraId="46B8E1AA" w14:textId="11DACA91" w:rsidR="00793F45" w:rsidRPr="009134AD" w:rsidRDefault="00793F45" w:rsidP="00276A87">
      <w:pPr>
        <w:pStyle w:val="Paragraphedeliste"/>
        <w:numPr>
          <w:ilvl w:val="0"/>
          <w:numId w:val="26"/>
        </w:numPr>
        <w:spacing w:after="40" w:line="278" w:lineRule="auto"/>
        <w:ind w:left="284" w:hanging="218"/>
        <w:contextualSpacing w:val="0"/>
        <w:rPr>
          <w:rFonts w:ascii="Selawik" w:hAnsi="Selawik"/>
          <w:sz w:val="23"/>
          <w:szCs w:val="23"/>
        </w:rPr>
      </w:pPr>
      <w:r w:rsidRPr="009134AD">
        <w:rPr>
          <w:rFonts w:ascii="Selawik" w:hAnsi="Selawik"/>
          <w:sz w:val="23"/>
          <w:szCs w:val="23"/>
        </w:rPr>
        <w:t>Rapport 107076/C –</w:t>
      </w:r>
      <w:r>
        <w:rPr>
          <w:rFonts w:ascii="Selawik" w:hAnsi="Selawik"/>
          <w:sz w:val="23"/>
          <w:szCs w:val="23"/>
        </w:rPr>
        <w:t xml:space="preserve"> </w:t>
      </w:r>
      <w:r w:rsidRPr="009134AD">
        <w:rPr>
          <w:rFonts w:ascii="Selawik" w:hAnsi="Selawik"/>
          <w:sz w:val="23"/>
          <w:szCs w:val="23"/>
        </w:rPr>
        <w:t>réalisé par Anteagroup</w:t>
      </w:r>
      <w:r>
        <w:rPr>
          <w:rFonts w:ascii="Selawik" w:hAnsi="Selawik"/>
          <w:sz w:val="23"/>
          <w:szCs w:val="23"/>
        </w:rPr>
        <w:t xml:space="preserve"> en</w:t>
      </w:r>
      <w:r w:rsidRPr="009134AD">
        <w:rPr>
          <w:rFonts w:ascii="Selawik" w:hAnsi="Selawik"/>
          <w:sz w:val="23"/>
          <w:szCs w:val="23"/>
        </w:rPr>
        <w:t xml:space="preserve"> Mars 2021</w:t>
      </w:r>
      <w:r>
        <w:rPr>
          <w:rFonts w:ascii="Selawik" w:hAnsi="Selawik"/>
          <w:sz w:val="23"/>
          <w:szCs w:val="23"/>
        </w:rPr>
        <w:t xml:space="preserve">, </w:t>
      </w:r>
      <w:r w:rsidRPr="009134AD">
        <w:rPr>
          <w:rFonts w:ascii="Selawik" w:hAnsi="Selawik"/>
          <w:sz w:val="23"/>
          <w:szCs w:val="23"/>
        </w:rPr>
        <w:t>«</w:t>
      </w:r>
      <w:r w:rsidRPr="009134AD">
        <w:rPr>
          <w:rFonts w:ascii="Calibri" w:hAnsi="Calibri" w:cs="Calibri"/>
          <w:sz w:val="23"/>
          <w:szCs w:val="23"/>
        </w:rPr>
        <w:t> </w:t>
      </w:r>
      <w:r w:rsidR="00E75F4E" w:rsidRPr="009134AD">
        <w:rPr>
          <w:rFonts w:ascii="Selawik" w:hAnsi="Selawik"/>
          <w:sz w:val="23"/>
          <w:szCs w:val="23"/>
        </w:rPr>
        <w:t>Étude</w:t>
      </w:r>
      <w:r w:rsidRPr="009134AD">
        <w:rPr>
          <w:rFonts w:ascii="Selawik" w:hAnsi="Selawik"/>
          <w:sz w:val="23"/>
          <w:szCs w:val="23"/>
        </w:rPr>
        <w:t xml:space="preserve"> hydrogéologique et hydraulique du projet de renouvellement et d’extension de la carrière de la Brosse située sur la commune de Sully-Sur-Loire</w:t>
      </w:r>
      <w:r w:rsidRPr="009134AD">
        <w:rPr>
          <w:rFonts w:ascii="Calibri" w:hAnsi="Calibri" w:cs="Calibri"/>
          <w:sz w:val="23"/>
          <w:szCs w:val="23"/>
        </w:rPr>
        <w:t> </w:t>
      </w:r>
      <w:r w:rsidRPr="009134AD">
        <w:rPr>
          <w:rFonts w:ascii="Selawik" w:hAnsi="Selawik" w:cs="Selawik"/>
          <w:sz w:val="23"/>
          <w:szCs w:val="23"/>
        </w:rPr>
        <w:t>»</w:t>
      </w:r>
      <w:r>
        <w:rPr>
          <w:rFonts w:ascii="Calibri" w:hAnsi="Calibri" w:cs="Calibri"/>
          <w:sz w:val="23"/>
          <w:szCs w:val="23"/>
        </w:rPr>
        <w:t> </w:t>
      </w:r>
      <w:r>
        <w:rPr>
          <w:rFonts w:ascii="Selawik" w:hAnsi="Selawik" w:cs="Selawik"/>
          <w:sz w:val="23"/>
          <w:szCs w:val="23"/>
        </w:rPr>
        <w:t>;</w:t>
      </w:r>
    </w:p>
    <w:p w14:paraId="3DB60A3A" w14:textId="7965028F" w:rsidR="00793F45" w:rsidRDefault="00793F45" w:rsidP="00276A87">
      <w:pPr>
        <w:pStyle w:val="Paragraphedeliste"/>
        <w:numPr>
          <w:ilvl w:val="0"/>
          <w:numId w:val="26"/>
        </w:numPr>
        <w:spacing w:after="40" w:line="278" w:lineRule="auto"/>
        <w:ind w:left="284" w:hanging="218"/>
        <w:contextualSpacing w:val="0"/>
        <w:rPr>
          <w:rFonts w:ascii="Selawik" w:hAnsi="Selawik"/>
          <w:sz w:val="23"/>
          <w:szCs w:val="23"/>
        </w:rPr>
      </w:pPr>
      <w:r>
        <w:rPr>
          <w:rFonts w:ascii="Selawik" w:hAnsi="Selawik"/>
          <w:sz w:val="23"/>
          <w:szCs w:val="23"/>
        </w:rPr>
        <w:t>«</w:t>
      </w:r>
      <w:r>
        <w:rPr>
          <w:rFonts w:ascii="Calibri" w:hAnsi="Calibri" w:cs="Calibri"/>
          <w:sz w:val="23"/>
          <w:szCs w:val="23"/>
        </w:rPr>
        <w:t> </w:t>
      </w:r>
      <w:r w:rsidR="00E75F4E">
        <w:rPr>
          <w:rFonts w:ascii="Selawik" w:hAnsi="Selawik"/>
          <w:sz w:val="23"/>
          <w:szCs w:val="23"/>
        </w:rPr>
        <w:t>Étude</w:t>
      </w:r>
      <w:r>
        <w:rPr>
          <w:rFonts w:ascii="Selawik" w:hAnsi="Selawik"/>
          <w:sz w:val="23"/>
          <w:szCs w:val="23"/>
        </w:rPr>
        <w:t xml:space="preserve"> préalable agricole d’après le Décret n°2016-1190 du 31 aout 2</w:t>
      </w:r>
      <w:r w:rsidR="00797F46">
        <w:rPr>
          <w:rFonts w:ascii="Selawik" w:hAnsi="Selawik"/>
          <w:sz w:val="23"/>
          <w:szCs w:val="23"/>
        </w:rPr>
        <w:t>0</w:t>
      </w:r>
      <w:r>
        <w:rPr>
          <w:rFonts w:ascii="Selawik" w:hAnsi="Selawik"/>
          <w:sz w:val="23"/>
          <w:szCs w:val="23"/>
        </w:rPr>
        <w:t>16</w:t>
      </w:r>
      <w:r>
        <w:rPr>
          <w:rFonts w:ascii="Calibri" w:hAnsi="Calibri" w:cs="Calibri"/>
          <w:sz w:val="23"/>
          <w:szCs w:val="23"/>
        </w:rPr>
        <w:t> </w:t>
      </w:r>
      <w:r>
        <w:rPr>
          <w:rFonts w:ascii="Selawik" w:hAnsi="Selawik" w:cs="Selawik"/>
          <w:sz w:val="23"/>
          <w:szCs w:val="23"/>
        </w:rPr>
        <w:t>»</w:t>
      </w:r>
      <w:r>
        <w:rPr>
          <w:rFonts w:ascii="Selawik" w:hAnsi="Selawik"/>
          <w:sz w:val="23"/>
          <w:szCs w:val="23"/>
        </w:rPr>
        <w:t xml:space="preserve"> – réalisé par </w:t>
      </w:r>
      <w:r w:rsidR="00BD4A01">
        <w:rPr>
          <w:rFonts w:ascii="Selawik" w:hAnsi="Selawik"/>
          <w:sz w:val="23"/>
          <w:szCs w:val="23"/>
        </w:rPr>
        <w:t>C</w:t>
      </w:r>
      <w:r>
        <w:rPr>
          <w:rFonts w:ascii="Selawik" w:hAnsi="Selawik"/>
          <w:sz w:val="23"/>
          <w:szCs w:val="23"/>
        </w:rPr>
        <w:t>ETIAC en Aout 2021</w:t>
      </w:r>
      <w:r>
        <w:rPr>
          <w:rFonts w:ascii="Calibri" w:hAnsi="Calibri" w:cs="Calibri"/>
          <w:sz w:val="23"/>
          <w:szCs w:val="23"/>
        </w:rPr>
        <w:t> </w:t>
      </w:r>
      <w:r>
        <w:rPr>
          <w:rFonts w:ascii="Selawik" w:hAnsi="Selawik"/>
          <w:sz w:val="23"/>
          <w:szCs w:val="23"/>
        </w:rPr>
        <w:t>;</w:t>
      </w:r>
    </w:p>
    <w:p w14:paraId="0BB33A40" w14:textId="56A4E4E3" w:rsidR="00793F45" w:rsidRDefault="00793F45" w:rsidP="00276A87">
      <w:pPr>
        <w:pStyle w:val="Paragraphedeliste"/>
        <w:numPr>
          <w:ilvl w:val="0"/>
          <w:numId w:val="26"/>
        </w:numPr>
        <w:spacing w:after="40" w:line="278" w:lineRule="auto"/>
        <w:ind w:left="284" w:hanging="218"/>
        <w:contextualSpacing w:val="0"/>
        <w:rPr>
          <w:rFonts w:ascii="Selawik" w:hAnsi="Selawik"/>
          <w:sz w:val="23"/>
          <w:szCs w:val="23"/>
        </w:rPr>
      </w:pPr>
      <w:r>
        <w:rPr>
          <w:rFonts w:ascii="Selawik" w:hAnsi="Selawik"/>
          <w:sz w:val="23"/>
          <w:szCs w:val="23"/>
        </w:rPr>
        <w:t>«</w:t>
      </w:r>
      <w:r>
        <w:rPr>
          <w:rFonts w:ascii="Calibri" w:hAnsi="Calibri" w:cs="Calibri"/>
          <w:sz w:val="23"/>
          <w:szCs w:val="23"/>
        </w:rPr>
        <w:t> </w:t>
      </w:r>
      <w:r w:rsidR="00E75F4E">
        <w:rPr>
          <w:rFonts w:ascii="Selawik" w:hAnsi="Selawik"/>
          <w:sz w:val="23"/>
          <w:szCs w:val="23"/>
        </w:rPr>
        <w:t>Étude</w:t>
      </w:r>
      <w:r>
        <w:rPr>
          <w:rFonts w:ascii="Selawik" w:hAnsi="Selawik"/>
          <w:sz w:val="23"/>
          <w:szCs w:val="23"/>
        </w:rPr>
        <w:t xml:space="preserve"> d’impact écologique et zones humides</w:t>
      </w:r>
      <w:r>
        <w:rPr>
          <w:rFonts w:ascii="Calibri" w:hAnsi="Calibri" w:cs="Calibri"/>
          <w:sz w:val="23"/>
          <w:szCs w:val="23"/>
        </w:rPr>
        <w:t> </w:t>
      </w:r>
      <w:r>
        <w:rPr>
          <w:rFonts w:ascii="Selawik" w:hAnsi="Selawik" w:cs="Selawik"/>
          <w:sz w:val="23"/>
          <w:szCs w:val="23"/>
        </w:rPr>
        <w:t xml:space="preserve">» </w:t>
      </w:r>
      <w:r>
        <w:rPr>
          <w:rFonts w:ascii="Selawik" w:hAnsi="Selawik"/>
          <w:sz w:val="23"/>
          <w:szCs w:val="23"/>
        </w:rPr>
        <w:t xml:space="preserve">– réalisé par </w:t>
      </w:r>
      <w:r w:rsidR="00E75F4E">
        <w:rPr>
          <w:rFonts w:ascii="Selawik" w:hAnsi="Selawik"/>
          <w:sz w:val="23"/>
          <w:szCs w:val="23"/>
        </w:rPr>
        <w:t>Écosphère</w:t>
      </w:r>
      <w:r>
        <w:rPr>
          <w:rFonts w:ascii="Selawik" w:hAnsi="Selawik"/>
          <w:sz w:val="23"/>
          <w:szCs w:val="23"/>
        </w:rPr>
        <w:t xml:space="preserve"> Agence Centre Bourgogne en Aout 2021</w:t>
      </w:r>
      <w:r>
        <w:rPr>
          <w:rFonts w:ascii="Calibri" w:hAnsi="Calibri" w:cs="Calibri"/>
          <w:sz w:val="23"/>
          <w:szCs w:val="23"/>
        </w:rPr>
        <w:t> </w:t>
      </w:r>
      <w:r>
        <w:rPr>
          <w:rFonts w:ascii="Selawik" w:hAnsi="Selawik"/>
          <w:sz w:val="23"/>
          <w:szCs w:val="23"/>
        </w:rPr>
        <w:t>;</w:t>
      </w:r>
    </w:p>
    <w:p w14:paraId="2AC514B6" w14:textId="55206F0D" w:rsidR="005674E2" w:rsidRPr="005674E2" w:rsidRDefault="00793F45" w:rsidP="00276A87">
      <w:pPr>
        <w:pStyle w:val="Paragraphedeliste"/>
        <w:numPr>
          <w:ilvl w:val="0"/>
          <w:numId w:val="26"/>
        </w:numPr>
        <w:spacing w:line="278" w:lineRule="auto"/>
        <w:ind w:left="284" w:hanging="218"/>
        <w:contextualSpacing w:val="0"/>
        <w:rPr>
          <w:rFonts w:ascii="Selawik" w:hAnsi="Selawik"/>
          <w:sz w:val="23"/>
          <w:szCs w:val="23"/>
        </w:rPr>
      </w:pPr>
      <w:bookmarkStart w:id="16" w:name="_Hlk84839353"/>
      <w:r w:rsidRPr="005674E2">
        <w:rPr>
          <w:rFonts w:ascii="Selawik" w:hAnsi="Selawik"/>
          <w:sz w:val="23"/>
          <w:szCs w:val="23"/>
        </w:rPr>
        <w:t>«</w:t>
      </w:r>
      <w:r w:rsidRPr="005674E2">
        <w:rPr>
          <w:rFonts w:ascii="Calibri" w:hAnsi="Calibri" w:cs="Calibri"/>
          <w:sz w:val="23"/>
          <w:szCs w:val="23"/>
        </w:rPr>
        <w:t> </w:t>
      </w:r>
      <w:r w:rsidRPr="005674E2">
        <w:rPr>
          <w:rFonts w:ascii="Selawik" w:hAnsi="Selawik"/>
          <w:sz w:val="23"/>
          <w:szCs w:val="23"/>
        </w:rPr>
        <w:t>Dossier de demande d’Autorisation Environnementale (DAE)</w:t>
      </w:r>
      <w:r w:rsidRPr="005674E2">
        <w:rPr>
          <w:rFonts w:ascii="Calibri" w:hAnsi="Calibri" w:cs="Calibri"/>
          <w:sz w:val="23"/>
          <w:szCs w:val="23"/>
        </w:rPr>
        <w:t> </w:t>
      </w:r>
      <w:r w:rsidRPr="005674E2">
        <w:rPr>
          <w:rFonts w:ascii="Selawik" w:hAnsi="Selawik"/>
          <w:sz w:val="23"/>
          <w:szCs w:val="23"/>
        </w:rPr>
        <w:t>pour le renouvellement partiel et l</w:t>
      </w:r>
      <w:r w:rsidRPr="005674E2">
        <w:rPr>
          <w:rFonts w:ascii="Selawik" w:hAnsi="Selawik" w:cs="Selawik"/>
          <w:sz w:val="23"/>
          <w:szCs w:val="23"/>
        </w:rPr>
        <w:t>’</w:t>
      </w:r>
      <w:r w:rsidRPr="005674E2">
        <w:rPr>
          <w:rFonts w:ascii="Selawik" w:hAnsi="Selawik"/>
          <w:sz w:val="23"/>
          <w:szCs w:val="23"/>
        </w:rPr>
        <w:t>extension d</w:t>
      </w:r>
      <w:r w:rsidRPr="005674E2">
        <w:rPr>
          <w:rFonts w:ascii="Selawik" w:hAnsi="Selawik" w:cs="Selawik"/>
          <w:sz w:val="23"/>
          <w:szCs w:val="23"/>
        </w:rPr>
        <w:t>’</w:t>
      </w:r>
      <w:r w:rsidRPr="005674E2">
        <w:rPr>
          <w:rFonts w:ascii="Selawik" w:hAnsi="Selawik"/>
          <w:sz w:val="23"/>
          <w:szCs w:val="23"/>
        </w:rPr>
        <w:t>une carri</w:t>
      </w:r>
      <w:r w:rsidRPr="005674E2">
        <w:rPr>
          <w:rFonts w:ascii="Selawik" w:hAnsi="Selawik" w:cs="Selawik"/>
          <w:sz w:val="23"/>
          <w:szCs w:val="23"/>
        </w:rPr>
        <w:t>è</w:t>
      </w:r>
      <w:r w:rsidRPr="005674E2">
        <w:rPr>
          <w:rFonts w:ascii="Selawik" w:hAnsi="Selawik"/>
          <w:sz w:val="23"/>
          <w:szCs w:val="23"/>
        </w:rPr>
        <w:t>re alluvionnaire</w:t>
      </w:r>
      <w:r w:rsidRPr="005674E2">
        <w:rPr>
          <w:rFonts w:ascii="Calibri" w:hAnsi="Calibri" w:cs="Calibri"/>
          <w:sz w:val="23"/>
          <w:szCs w:val="23"/>
        </w:rPr>
        <w:t> </w:t>
      </w:r>
      <w:r w:rsidRPr="005674E2">
        <w:rPr>
          <w:rFonts w:ascii="Selawik" w:hAnsi="Selawik" w:cs="Selawik"/>
          <w:sz w:val="23"/>
          <w:szCs w:val="23"/>
        </w:rPr>
        <w:t>»</w:t>
      </w:r>
      <w:r w:rsidRPr="005674E2">
        <w:rPr>
          <w:rFonts w:ascii="Selawik" w:hAnsi="Selawik"/>
          <w:sz w:val="23"/>
          <w:szCs w:val="23"/>
        </w:rPr>
        <w:t xml:space="preserve"> – réalisé par Geo+Environnement en Mai 2021</w:t>
      </w:r>
      <w:r w:rsidRPr="005674E2">
        <w:rPr>
          <w:rFonts w:ascii="Calibri" w:hAnsi="Calibri" w:cs="Calibri"/>
          <w:sz w:val="23"/>
          <w:szCs w:val="23"/>
        </w:rPr>
        <w:t> </w:t>
      </w:r>
      <w:r w:rsidRPr="005674E2">
        <w:rPr>
          <w:rFonts w:ascii="Selawik" w:hAnsi="Selawik"/>
          <w:sz w:val="23"/>
          <w:szCs w:val="23"/>
        </w:rPr>
        <w:t>;</w:t>
      </w:r>
      <w:bookmarkEnd w:id="16"/>
    </w:p>
    <w:p w14:paraId="548A1E48" w14:textId="2B7E5A04" w:rsidR="00276A87" w:rsidRDefault="00C94247" w:rsidP="00276A87">
      <w:pPr>
        <w:shd w:val="clear" w:color="auto" w:fill="002060"/>
        <w:spacing w:line="278" w:lineRule="auto"/>
        <w:rPr>
          <w:rFonts w:ascii="Calibri" w:hAnsi="Calibri" w:cs="Calibri"/>
          <w:sz w:val="23"/>
          <w:szCs w:val="23"/>
        </w:rPr>
      </w:pPr>
      <w:r>
        <w:rPr>
          <w:rFonts w:ascii="Selawik" w:hAnsi="Selawik"/>
          <w:sz w:val="23"/>
          <w:szCs w:val="23"/>
        </w:rPr>
        <w:t>Le présent dossier de</w:t>
      </w:r>
      <w:r w:rsidR="00793F45">
        <w:rPr>
          <w:rFonts w:ascii="Selawik" w:hAnsi="Selawik"/>
          <w:sz w:val="23"/>
          <w:szCs w:val="23"/>
        </w:rPr>
        <w:t xml:space="preserve"> déclaration de projet emportant</w:t>
      </w:r>
      <w:r>
        <w:rPr>
          <w:rFonts w:ascii="Selawik" w:hAnsi="Selawik"/>
          <w:sz w:val="23"/>
          <w:szCs w:val="23"/>
        </w:rPr>
        <w:t xml:space="preserve"> mise en compatibilité </w:t>
      </w:r>
      <w:r w:rsidR="00793F45">
        <w:rPr>
          <w:rFonts w:ascii="Selawik" w:hAnsi="Selawik"/>
          <w:sz w:val="23"/>
          <w:szCs w:val="23"/>
        </w:rPr>
        <w:t xml:space="preserve">du PLU </w:t>
      </w:r>
      <w:r>
        <w:rPr>
          <w:rFonts w:ascii="Selawik" w:hAnsi="Selawik"/>
          <w:sz w:val="23"/>
          <w:szCs w:val="23"/>
        </w:rPr>
        <w:t>traite le volet extension d</w:t>
      </w:r>
      <w:r w:rsidRPr="006F68CE">
        <w:rPr>
          <w:rFonts w:ascii="Selawik" w:hAnsi="Selawik"/>
          <w:i/>
          <w:iCs/>
          <w:sz w:val="23"/>
          <w:szCs w:val="23"/>
        </w:rPr>
        <w:t>e</w:t>
      </w:r>
      <w:r>
        <w:rPr>
          <w:rFonts w:ascii="Selawik" w:hAnsi="Selawik"/>
          <w:sz w:val="23"/>
          <w:szCs w:val="23"/>
        </w:rPr>
        <w:t xml:space="preserve"> la carrière</w:t>
      </w:r>
      <w:r w:rsidR="00793F45">
        <w:rPr>
          <w:rFonts w:ascii="Calibri" w:hAnsi="Calibri" w:cs="Calibri"/>
          <w:sz w:val="23"/>
          <w:szCs w:val="23"/>
        </w:rPr>
        <w:t>.</w:t>
      </w:r>
    </w:p>
    <w:p w14:paraId="773BD6FC" w14:textId="74F65A90" w:rsidR="00B1529B" w:rsidRDefault="00502F39" w:rsidP="00C846FC">
      <w:pPr>
        <w:pStyle w:val="Titre3"/>
        <w:spacing w:line="278" w:lineRule="auto"/>
      </w:pPr>
      <w:bookmarkStart w:id="17" w:name="_Toc99556087"/>
      <w:r>
        <w:t>Les principales modifications</w:t>
      </w:r>
      <w:r w:rsidR="00B1529B">
        <w:t xml:space="preserve"> du PLU vis-à-vis de la déclaration de projet</w:t>
      </w:r>
      <w:bookmarkEnd w:id="17"/>
    </w:p>
    <w:p w14:paraId="4DB3778F" w14:textId="38E14C68" w:rsidR="00B1529B" w:rsidRDefault="00B1529B" w:rsidP="00C846FC">
      <w:pPr>
        <w:spacing w:line="278" w:lineRule="auto"/>
        <w:rPr>
          <w:rFonts w:ascii="Selawik" w:hAnsi="Selawik"/>
          <w:sz w:val="23"/>
          <w:szCs w:val="23"/>
        </w:rPr>
      </w:pPr>
      <w:r w:rsidRPr="00B1529B">
        <w:rPr>
          <w:rFonts w:ascii="Selawik" w:hAnsi="Selawik"/>
          <w:sz w:val="23"/>
          <w:szCs w:val="23"/>
        </w:rPr>
        <w:t xml:space="preserve">Le Plan Local d‘Urbanisme </w:t>
      </w:r>
      <w:r w:rsidR="002F5877">
        <w:rPr>
          <w:rFonts w:ascii="Selawik" w:hAnsi="Selawik"/>
          <w:sz w:val="23"/>
          <w:szCs w:val="23"/>
        </w:rPr>
        <w:t xml:space="preserve">(PLU) de </w:t>
      </w:r>
      <w:r w:rsidR="00CF3E8D">
        <w:rPr>
          <w:rFonts w:ascii="Selawik" w:hAnsi="Selawik"/>
          <w:sz w:val="23"/>
          <w:szCs w:val="23"/>
        </w:rPr>
        <w:t>Sully-sur-Loire</w:t>
      </w:r>
      <w:r w:rsidR="002F5877">
        <w:rPr>
          <w:rFonts w:ascii="Selawik" w:hAnsi="Selawik"/>
          <w:sz w:val="23"/>
          <w:szCs w:val="23"/>
        </w:rPr>
        <w:t xml:space="preserve">, approuvé le </w:t>
      </w:r>
      <w:r w:rsidR="002A7FD8">
        <w:rPr>
          <w:rFonts w:ascii="Selawik" w:hAnsi="Selawik"/>
          <w:sz w:val="23"/>
          <w:szCs w:val="23"/>
        </w:rPr>
        <w:t>21 décembre 2017</w:t>
      </w:r>
      <w:r w:rsidR="002F5877">
        <w:rPr>
          <w:rFonts w:ascii="Selawik" w:hAnsi="Selawik"/>
          <w:sz w:val="23"/>
          <w:szCs w:val="23"/>
        </w:rPr>
        <w:t xml:space="preserve"> n’autorise pas ce type d</w:t>
      </w:r>
      <w:r w:rsidR="00E204EF">
        <w:rPr>
          <w:rFonts w:ascii="Selawik" w:hAnsi="Selawik"/>
          <w:sz w:val="23"/>
          <w:szCs w:val="23"/>
        </w:rPr>
        <w:t>’occupation du sol sur le secteur en extension.</w:t>
      </w:r>
      <w:r w:rsidR="00FA4801">
        <w:rPr>
          <w:rFonts w:ascii="Selawik" w:hAnsi="Selawik"/>
          <w:sz w:val="23"/>
          <w:szCs w:val="23"/>
        </w:rPr>
        <w:t xml:space="preserve"> </w:t>
      </w:r>
      <w:r w:rsidRPr="00B1529B">
        <w:rPr>
          <w:rFonts w:ascii="Selawik" w:hAnsi="Selawik"/>
          <w:sz w:val="23"/>
          <w:szCs w:val="23"/>
        </w:rPr>
        <w:t xml:space="preserve">Aussi, dans la mesure où </w:t>
      </w:r>
      <w:r w:rsidR="00FA4801">
        <w:rPr>
          <w:rFonts w:ascii="Selawik" w:hAnsi="Selawik"/>
          <w:sz w:val="23"/>
          <w:szCs w:val="23"/>
        </w:rPr>
        <w:t xml:space="preserve">la commune </w:t>
      </w:r>
      <w:r w:rsidR="00E204EF">
        <w:rPr>
          <w:rFonts w:ascii="Selawik" w:hAnsi="Selawik"/>
          <w:sz w:val="23"/>
          <w:szCs w:val="23"/>
        </w:rPr>
        <w:t>accompagne l’activité existante et le projet d’extension dans ses démarches</w:t>
      </w:r>
      <w:r w:rsidRPr="00B1529B">
        <w:rPr>
          <w:rFonts w:ascii="Selawik" w:hAnsi="Selawik"/>
          <w:sz w:val="23"/>
          <w:szCs w:val="23"/>
        </w:rPr>
        <w:t xml:space="preserve">, et que ce projet revêt un </w:t>
      </w:r>
      <w:r w:rsidRPr="007F4C6A">
        <w:rPr>
          <w:rFonts w:ascii="Selawik" w:hAnsi="Selawik"/>
          <w:color w:val="0070C0"/>
          <w:sz w:val="23"/>
          <w:szCs w:val="23"/>
        </w:rPr>
        <w:t>caractère d’intérêt général</w:t>
      </w:r>
      <w:r w:rsidR="00FE328E" w:rsidRPr="007F4C6A">
        <w:rPr>
          <w:rFonts w:ascii="Selawik" w:hAnsi="Selawik"/>
          <w:color w:val="0070C0"/>
          <w:sz w:val="23"/>
          <w:szCs w:val="23"/>
        </w:rPr>
        <w:t xml:space="preserve"> (cf. § 7.1. Un projet d’intérêt général)</w:t>
      </w:r>
      <w:r w:rsidRPr="007F4C6A">
        <w:rPr>
          <w:rFonts w:ascii="Selawik" w:hAnsi="Selawik"/>
          <w:color w:val="0070C0"/>
          <w:sz w:val="23"/>
          <w:szCs w:val="23"/>
        </w:rPr>
        <w:t xml:space="preserve">, </w:t>
      </w:r>
      <w:r w:rsidRPr="00B1529B">
        <w:rPr>
          <w:rFonts w:ascii="Selawik" w:hAnsi="Selawik"/>
          <w:sz w:val="23"/>
          <w:szCs w:val="23"/>
        </w:rPr>
        <w:t xml:space="preserve">une procédure de déclaration de projet emportant mise en compatibilité du </w:t>
      </w:r>
      <w:r w:rsidR="00310F9C">
        <w:rPr>
          <w:rFonts w:ascii="Selawik" w:hAnsi="Selawik"/>
          <w:sz w:val="23"/>
          <w:szCs w:val="23"/>
        </w:rPr>
        <w:t xml:space="preserve">PLU </w:t>
      </w:r>
      <w:r w:rsidRPr="00B1529B">
        <w:rPr>
          <w:rFonts w:ascii="Selawik" w:hAnsi="Selawik"/>
          <w:sz w:val="23"/>
          <w:szCs w:val="23"/>
        </w:rPr>
        <w:t xml:space="preserve">peut être conduite en application des articles L153-54 et suivants du Code de l’Urbanisme. </w:t>
      </w:r>
    </w:p>
    <w:p w14:paraId="2A2730FE" w14:textId="33DCA596" w:rsidR="00F23EED" w:rsidRDefault="00B1529B" w:rsidP="00C846FC">
      <w:pPr>
        <w:spacing w:line="278" w:lineRule="auto"/>
        <w:rPr>
          <w:rFonts w:ascii="Selawik" w:hAnsi="Selawik"/>
          <w:sz w:val="23"/>
          <w:szCs w:val="23"/>
        </w:rPr>
      </w:pPr>
      <w:r w:rsidRPr="00B1529B">
        <w:rPr>
          <w:rFonts w:ascii="Selawik" w:hAnsi="Selawik"/>
          <w:sz w:val="23"/>
          <w:szCs w:val="23"/>
        </w:rPr>
        <w:t>L</w:t>
      </w:r>
      <w:r w:rsidR="00BD6D3F">
        <w:rPr>
          <w:rFonts w:ascii="Selawik" w:hAnsi="Selawik"/>
          <w:sz w:val="23"/>
          <w:szCs w:val="23"/>
        </w:rPr>
        <w:t xml:space="preserve">e site d'extension </w:t>
      </w:r>
      <w:r w:rsidRPr="00B1529B">
        <w:rPr>
          <w:rFonts w:ascii="Selawik" w:hAnsi="Selawik"/>
          <w:sz w:val="23"/>
          <w:szCs w:val="23"/>
        </w:rPr>
        <w:t xml:space="preserve">doit ainsi faire l’objet de la délimitation </w:t>
      </w:r>
      <w:r w:rsidR="00F23EED">
        <w:rPr>
          <w:rFonts w:ascii="Selawik" w:hAnsi="Selawik"/>
          <w:sz w:val="23"/>
          <w:szCs w:val="23"/>
        </w:rPr>
        <w:t>d</w:t>
      </w:r>
      <w:r w:rsidRPr="00B1529B">
        <w:rPr>
          <w:rFonts w:ascii="Selawik" w:hAnsi="Selawik"/>
          <w:sz w:val="23"/>
          <w:szCs w:val="23"/>
        </w:rPr>
        <w:t>’un</w:t>
      </w:r>
      <w:r w:rsidR="00BD6D3F">
        <w:rPr>
          <w:rFonts w:ascii="Selawik" w:hAnsi="Selawik"/>
          <w:sz w:val="23"/>
          <w:szCs w:val="23"/>
        </w:rPr>
        <w:t xml:space="preserve"> secteur spécifique </w:t>
      </w:r>
      <w:r w:rsidR="008B6D9F">
        <w:rPr>
          <w:rFonts w:ascii="Selawik" w:hAnsi="Selawik"/>
          <w:sz w:val="23"/>
          <w:szCs w:val="23"/>
        </w:rPr>
        <w:t>au sein du PLU en tant que «</w:t>
      </w:r>
      <w:r w:rsidR="008B6D9F">
        <w:rPr>
          <w:rFonts w:ascii="Calibri" w:hAnsi="Calibri" w:cs="Calibri"/>
          <w:sz w:val="23"/>
          <w:szCs w:val="23"/>
        </w:rPr>
        <w:t> </w:t>
      </w:r>
      <w:r w:rsidR="008B6D9F" w:rsidRPr="008B6D9F">
        <w:rPr>
          <w:rFonts w:ascii="Selawik" w:hAnsi="Selawik"/>
          <w:b/>
          <w:sz w:val="23"/>
          <w:szCs w:val="23"/>
        </w:rPr>
        <w:t>zones spéciales de recherche et d'exploitation de carrières et des zones d'exploitation et d'aménagement coordonné de carrières</w:t>
      </w:r>
      <w:r w:rsidR="008B6D9F" w:rsidRPr="008B6D9F">
        <w:rPr>
          <w:rFonts w:ascii="Selawik" w:hAnsi="Selawik"/>
          <w:sz w:val="23"/>
          <w:szCs w:val="23"/>
        </w:rPr>
        <w:t>, délimités en application des articles L. 321-1, L. 333-1 et L. 334-1 du code minier</w:t>
      </w:r>
      <w:r w:rsidR="008B6D9F">
        <w:rPr>
          <w:rFonts w:ascii="Calibri" w:hAnsi="Calibri" w:cs="Calibri"/>
          <w:sz w:val="23"/>
          <w:szCs w:val="23"/>
        </w:rPr>
        <w:t> </w:t>
      </w:r>
      <w:r w:rsidR="008B6D9F">
        <w:rPr>
          <w:rFonts w:ascii="Selawik" w:hAnsi="Selawik" w:cs="Selawik"/>
          <w:sz w:val="23"/>
          <w:szCs w:val="23"/>
        </w:rPr>
        <w:t>»</w:t>
      </w:r>
      <w:r w:rsidR="008B6D9F">
        <w:rPr>
          <w:rFonts w:ascii="Selawik" w:hAnsi="Selawik"/>
          <w:sz w:val="23"/>
          <w:szCs w:val="23"/>
        </w:rPr>
        <w:t xml:space="preserve">. </w:t>
      </w:r>
      <w:r w:rsidR="005F2680">
        <w:rPr>
          <w:rFonts w:ascii="Selawik" w:hAnsi="Selawik"/>
          <w:sz w:val="23"/>
          <w:szCs w:val="23"/>
        </w:rPr>
        <w:t>C</w:t>
      </w:r>
      <w:r w:rsidR="00016739">
        <w:rPr>
          <w:rFonts w:ascii="Selawik" w:hAnsi="Selawik"/>
          <w:sz w:val="23"/>
          <w:szCs w:val="23"/>
        </w:rPr>
        <w:t xml:space="preserve">et </w:t>
      </w:r>
      <w:r w:rsidR="005F2680">
        <w:rPr>
          <w:rFonts w:ascii="Selawik" w:hAnsi="Selawik"/>
          <w:sz w:val="23"/>
          <w:szCs w:val="23"/>
        </w:rPr>
        <w:t>outil</w:t>
      </w:r>
      <w:r w:rsidR="00016739">
        <w:rPr>
          <w:rFonts w:ascii="Selawik" w:hAnsi="Selawik"/>
          <w:sz w:val="23"/>
          <w:szCs w:val="23"/>
        </w:rPr>
        <w:t xml:space="preserve"> figure à l’article R 151-</w:t>
      </w:r>
      <w:r w:rsidR="00347BA8">
        <w:rPr>
          <w:rFonts w:ascii="Selawik" w:hAnsi="Selawik"/>
          <w:sz w:val="23"/>
          <w:szCs w:val="23"/>
        </w:rPr>
        <w:t>34</w:t>
      </w:r>
      <w:r w:rsidR="00016739">
        <w:rPr>
          <w:rFonts w:ascii="Selawik" w:hAnsi="Selawik"/>
          <w:sz w:val="23"/>
          <w:szCs w:val="23"/>
        </w:rPr>
        <w:t xml:space="preserve"> du code de l’urbanisme. </w:t>
      </w:r>
      <w:r w:rsidR="005D5DA9">
        <w:rPr>
          <w:rFonts w:ascii="Selawik" w:hAnsi="Selawik"/>
          <w:sz w:val="23"/>
          <w:szCs w:val="23"/>
        </w:rPr>
        <w:t xml:space="preserve">Lors de la numérisation du PLU </w:t>
      </w:r>
      <w:r w:rsidR="00797F46">
        <w:rPr>
          <w:rFonts w:ascii="Selawik" w:hAnsi="Selawik"/>
          <w:sz w:val="23"/>
          <w:szCs w:val="23"/>
        </w:rPr>
        <w:t>sur</w:t>
      </w:r>
      <w:r w:rsidR="005D5DA9">
        <w:rPr>
          <w:rFonts w:ascii="Selawik" w:hAnsi="Selawik"/>
          <w:sz w:val="23"/>
          <w:szCs w:val="23"/>
        </w:rPr>
        <w:t xml:space="preserve"> le Géoportail de l’Urbanisme, la couche INFO_URBA sera modifié</w:t>
      </w:r>
      <w:r w:rsidR="005D5DA9" w:rsidRPr="005D5DA9">
        <w:rPr>
          <w:rFonts w:ascii="Selawik" w:hAnsi="Selawik"/>
          <w:sz w:val="23"/>
          <w:szCs w:val="23"/>
        </w:rPr>
        <w:t xml:space="preserve">e pour tenir compte </w:t>
      </w:r>
      <w:r w:rsidR="00461EBD">
        <w:rPr>
          <w:rFonts w:ascii="Selawik" w:hAnsi="Selawik"/>
          <w:sz w:val="23"/>
          <w:szCs w:val="23"/>
        </w:rPr>
        <w:t>du nouveau périmètre de zone de recherche et d’exploitation</w:t>
      </w:r>
      <w:r w:rsidR="00BB4E1A">
        <w:rPr>
          <w:rFonts w:ascii="Selawik" w:hAnsi="Selawik"/>
          <w:sz w:val="23"/>
          <w:szCs w:val="23"/>
        </w:rPr>
        <w:t xml:space="preserve"> de carrières</w:t>
      </w:r>
      <w:r w:rsidR="00461EBD">
        <w:rPr>
          <w:rFonts w:ascii="Selawik" w:hAnsi="Selawik"/>
          <w:sz w:val="23"/>
          <w:szCs w:val="23"/>
        </w:rPr>
        <w:t>.</w:t>
      </w:r>
    </w:p>
    <w:p w14:paraId="08AD43A9" w14:textId="0FE79970" w:rsidR="00BB4E1A" w:rsidRDefault="00BB4E1A" w:rsidP="00C846FC">
      <w:pPr>
        <w:shd w:val="clear" w:color="auto" w:fill="002060"/>
        <w:spacing w:line="278" w:lineRule="auto"/>
        <w:rPr>
          <w:rFonts w:ascii="Selawik" w:hAnsi="Selawik"/>
          <w:sz w:val="23"/>
          <w:szCs w:val="23"/>
        </w:rPr>
      </w:pPr>
      <w:r>
        <w:rPr>
          <w:rFonts w:ascii="Selawik" w:hAnsi="Selawik"/>
          <w:sz w:val="23"/>
          <w:szCs w:val="23"/>
        </w:rPr>
        <w:t>Il est important de préciser que le périmètre de la</w:t>
      </w:r>
      <w:r w:rsidRPr="00BB4E1A">
        <w:t xml:space="preserve"> </w:t>
      </w:r>
      <w:r w:rsidRPr="00BB4E1A">
        <w:rPr>
          <w:rFonts w:ascii="Selawik" w:hAnsi="Selawik"/>
          <w:sz w:val="23"/>
          <w:szCs w:val="23"/>
        </w:rPr>
        <w:t>zone de recherche</w:t>
      </w:r>
      <w:r>
        <w:rPr>
          <w:rFonts w:ascii="Selawik" w:hAnsi="Selawik"/>
          <w:sz w:val="23"/>
          <w:szCs w:val="23"/>
        </w:rPr>
        <w:t xml:space="preserve"> et d’exploitation de carrières est plus grand que le périmètre figurant dans le </w:t>
      </w:r>
      <w:r w:rsidRPr="00BB4E1A">
        <w:rPr>
          <w:rFonts w:ascii="Selawik" w:hAnsi="Selawik"/>
          <w:sz w:val="23"/>
          <w:szCs w:val="23"/>
        </w:rPr>
        <w:t>Dossier de demande d’Autorisation Environnementale (DAE)</w:t>
      </w:r>
      <w:r>
        <w:rPr>
          <w:rFonts w:ascii="Selawik" w:hAnsi="Selawik"/>
          <w:sz w:val="23"/>
          <w:szCs w:val="23"/>
        </w:rPr>
        <w:t>. En effet, des franges de certains parcelles, chemins ne seront naturellement pas exploité</w:t>
      </w:r>
      <w:r w:rsidR="00797F46">
        <w:rPr>
          <w:rFonts w:ascii="Selawik" w:hAnsi="Selawik"/>
          <w:sz w:val="23"/>
          <w:szCs w:val="23"/>
        </w:rPr>
        <w:t>es</w:t>
      </w:r>
      <w:r>
        <w:rPr>
          <w:rFonts w:ascii="Selawik" w:hAnsi="Selawik"/>
          <w:sz w:val="23"/>
          <w:szCs w:val="23"/>
        </w:rPr>
        <w:t xml:space="preserve"> au regard de l’étude d’impact </w:t>
      </w:r>
      <w:r w:rsidR="00762321">
        <w:rPr>
          <w:rFonts w:ascii="Selawik" w:hAnsi="Selawik"/>
          <w:sz w:val="23"/>
          <w:szCs w:val="23"/>
        </w:rPr>
        <w:t>et des études connexes.</w:t>
      </w:r>
    </w:p>
    <w:p w14:paraId="3CC164D1" w14:textId="42ACB7E4" w:rsidR="00762321" w:rsidRDefault="00762321" w:rsidP="00C846FC">
      <w:pPr>
        <w:shd w:val="clear" w:color="auto" w:fill="002060"/>
        <w:spacing w:line="278" w:lineRule="auto"/>
        <w:rPr>
          <w:rFonts w:ascii="Selawik" w:hAnsi="Selawik"/>
          <w:sz w:val="23"/>
          <w:szCs w:val="23"/>
        </w:rPr>
      </w:pPr>
      <w:r>
        <w:rPr>
          <w:rFonts w:ascii="Selawik" w:hAnsi="Selawik"/>
          <w:sz w:val="23"/>
          <w:szCs w:val="23"/>
        </w:rPr>
        <w:t xml:space="preserve">La surlargeur permet d’être plus souple vis-à-vis du rapport de compatibilité avec le PLU. En revanche, la société </w:t>
      </w:r>
      <w:r w:rsidR="009479AF">
        <w:rPr>
          <w:rFonts w:ascii="Selawik" w:hAnsi="Selawik"/>
          <w:sz w:val="23"/>
          <w:szCs w:val="23"/>
        </w:rPr>
        <w:t>EQIOM Granulats</w:t>
      </w:r>
      <w:r>
        <w:rPr>
          <w:rFonts w:ascii="Selawik" w:hAnsi="Selawik"/>
          <w:sz w:val="23"/>
          <w:szCs w:val="23"/>
        </w:rPr>
        <w:t xml:space="preserve"> devra </w:t>
      </w:r>
      <w:r w:rsidR="00D37297">
        <w:rPr>
          <w:rFonts w:ascii="Selawik" w:hAnsi="Selawik"/>
          <w:sz w:val="23"/>
          <w:szCs w:val="23"/>
        </w:rPr>
        <w:t>respecter strictement</w:t>
      </w:r>
      <w:r>
        <w:rPr>
          <w:rFonts w:ascii="Selawik" w:hAnsi="Selawik"/>
          <w:sz w:val="23"/>
          <w:szCs w:val="23"/>
        </w:rPr>
        <w:t xml:space="preserve"> le périmètre d’exploitation accordé par arrêté </w:t>
      </w:r>
      <w:r w:rsidR="001F4300">
        <w:rPr>
          <w:rFonts w:ascii="Selawik" w:hAnsi="Selawik"/>
          <w:sz w:val="23"/>
          <w:szCs w:val="23"/>
        </w:rPr>
        <w:t>préfectoral</w:t>
      </w:r>
      <w:r>
        <w:rPr>
          <w:rFonts w:ascii="Selawik" w:hAnsi="Selawik"/>
          <w:sz w:val="23"/>
          <w:szCs w:val="23"/>
        </w:rPr>
        <w:t xml:space="preserve">. </w:t>
      </w:r>
    </w:p>
    <w:p w14:paraId="66B6A381" w14:textId="77777777" w:rsidR="00B1529B" w:rsidRDefault="00B1529B" w:rsidP="00C846FC">
      <w:pPr>
        <w:spacing w:line="278" w:lineRule="auto"/>
        <w:rPr>
          <w:rFonts w:ascii="Selawik" w:hAnsi="Selawik"/>
          <w:sz w:val="23"/>
          <w:szCs w:val="23"/>
        </w:rPr>
      </w:pPr>
      <w:r w:rsidRPr="00B1529B">
        <w:rPr>
          <w:rFonts w:ascii="Selawik" w:hAnsi="Selawik"/>
          <w:sz w:val="23"/>
          <w:szCs w:val="23"/>
        </w:rPr>
        <w:lastRenderedPageBreak/>
        <w:t xml:space="preserve">Conformément à l'article L300-6 du code de l'urbanisme, </w:t>
      </w:r>
      <w:r w:rsidRPr="008D6890">
        <w:rPr>
          <w:rFonts w:ascii="Selawik" w:hAnsi="Selawik"/>
          <w:b/>
          <w:sz w:val="23"/>
          <w:szCs w:val="23"/>
        </w:rPr>
        <w:t xml:space="preserve">la </w:t>
      </w:r>
      <w:r w:rsidR="00BC4747" w:rsidRPr="008D6890">
        <w:rPr>
          <w:rFonts w:ascii="Selawik" w:hAnsi="Selawik"/>
          <w:b/>
          <w:sz w:val="23"/>
          <w:szCs w:val="23"/>
        </w:rPr>
        <w:t xml:space="preserve">commune </w:t>
      </w:r>
      <w:r w:rsidR="00BC4747">
        <w:rPr>
          <w:rFonts w:ascii="Selawik" w:hAnsi="Selawik"/>
          <w:sz w:val="23"/>
          <w:szCs w:val="23"/>
        </w:rPr>
        <w:t>(maitre d’ouvrage et autorité compétente)</w:t>
      </w:r>
      <w:r w:rsidRPr="00B1529B">
        <w:rPr>
          <w:rFonts w:ascii="Selawik" w:hAnsi="Selawik"/>
          <w:sz w:val="23"/>
          <w:szCs w:val="23"/>
        </w:rPr>
        <w:t xml:space="preserve"> </w:t>
      </w:r>
      <w:r w:rsidRPr="00DC7FA9">
        <w:rPr>
          <w:rFonts w:ascii="Selawik" w:hAnsi="Selawik"/>
          <w:b/>
          <w:sz w:val="23"/>
          <w:szCs w:val="23"/>
        </w:rPr>
        <w:t>se prononcera</w:t>
      </w:r>
      <w:r w:rsidR="00BC4747" w:rsidRPr="00DC7FA9">
        <w:rPr>
          <w:rFonts w:ascii="Selawik" w:hAnsi="Selawik"/>
          <w:b/>
          <w:sz w:val="23"/>
          <w:szCs w:val="23"/>
        </w:rPr>
        <w:t>, après enquête publique,</w:t>
      </w:r>
      <w:r w:rsidRPr="00DC7FA9">
        <w:rPr>
          <w:rFonts w:ascii="Selawik" w:hAnsi="Selawik"/>
          <w:b/>
          <w:sz w:val="23"/>
          <w:szCs w:val="23"/>
        </w:rPr>
        <w:t xml:space="preserve"> par une déclaration de projet sur l'intérêt général de ce projet</w:t>
      </w:r>
      <w:r w:rsidRPr="00B1529B">
        <w:rPr>
          <w:rFonts w:ascii="Selawik" w:hAnsi="Selawik"/>
          <w:sz w:val="23"/>
          <w:szCs w:val="23"/>
        </w:rPr>
        <w:t xml:space="preserve"> permettant la mise en compatibilité du d</w:t>
      </w:r>
      <w:r w:rsidR="008D6890">
        <w:rPr>
          <w:rFonts w:ascii="Selawik" w:hAnsi="Selawik"/>
          <w:sz w:val="23"/>
          <w:szCs w:val="23"/>
        </w:rPr>
        <w:t xml:space="preserve">ocument d’urbanisme en vigueur. </w:t>
      </w:r>
      <w:r w:rsidRPr="00B1529B">
        <w:rPr>
          <w:rFonts w:ascii="Selawik" w:hAnsi="Selawik"/>
          <w:sz w:val="23"/>
          <w:szCs w:val="23"/>
        </w:rPr>
        <w:t xml:space="preserve">Le présent dossier mentionne l'objet de l'opération et comporte les motifs et considérations qui justifient son caractère d'intérêt général. Il présente également les évolutions du PLU nécessaires à permettre la réalisation du projet. </w:t>
      </w:r>
    </w:p>
    <w:p w14:paraId="58D354BF" w14:textId="0BDAEE70" w:rsidR="00B1529B" w:rsidRPr="00B1529B" w:rsidRDefault="00B1529B" w:rsidP="00C846FC">
      <w:pPr>
        <w:spacing w:line="278" w:lineRule="auto"/>
        <w:rPr>
          <w:rFonts w:ascii="Selawik" w:hAnsi="Selawik"/>
          <w:sz w:val="23"/>
          <w:szCs w:val="23"/>
        </w:rPr>
      </w:pPr>
      <w:r w:rsidRPr="008D6890">
        <w:rPr>
          <w:rFonts w:ascii="Selawik" w:hAnsi="Selawik"/>
          <w:b/>
          <w:sz w:val="23"/>
          <w:szCs w:val="23"/>
        </w:rPr>
        <w:t xml:space="preserve">Le territoire de la </w:t>
      </w:r>
      <w:r w:rsidR="00BC4747" w:rsidRPr="008D6890">
        <w:rPr>
          <w:rFonts w:ascii="Selawik" w:hAnsi="Selawik"/>
          <w:b/>
          <w:sz w:val="23"/>
          <w:szCs w:val="23"/>
        </w:rPr>
        <w:t xml:space="preserve">commune </w:t>
      </w:r>
      <w:r w:rsidRPr="008D6890">
        <w:rPr>
          <w:rFonts w:ascii="Selawik" w:hAnsi="Selawik"/>
          <w:b/>
          <w:sz w:val="23"/>
          <w:szCs w:val="23"/>
        </w:rPr>
        <w:t xml:space="preserve">étant concerné par </w:t>
      </w:r>
      <w:r w:rsidR="00906A2B">
        <w:rPr>
          <w:rFonts w:ascii="Selawik" w:hAnsi="Selawik"/>
          <w:b/>
          <w:sz w:val="23"/>
          <w:szCs w:val="23"/>
        </w:rPr>
        <w:t xml:space="preserve">plusieurs </w:t>
      </w:r>
      <w:r w:rsidRPr="008D6890">
        <w:rPr>
          <w:rFonts w:ascii="Selawik" w:hAnsi="Selawik"/>
          <w:b/>
          <w:sz w:val="23"/>
          <w:szCs w:val="23"/>
        </w:rPr>
        <w:t>site</w:t>
      </w:r>
      <w:r w:rsidR="00906A2B">
        <w:rPr>
          <w:rFonts w:ascii="Selawik" w:hAnsi="Selawik"/>
          <w:b/>
          <w:sz w:val="23"/>
          <w:szCs w:val="23"/>
        </w:rPr>
        <w:t>s</w:t>
      </w:r>
      <w:r w:rsidRPr="008D6890">
        <w:rPr>
          <w:rFonts w:ascii="Selawik" w:hAnsi="Selawik"/>
          <w:b/>
          <w:sz w:val="23"/>
          <w:szCs w:val="23"/>
        </w:rPr>
        <w:t xml:space="preserve"> Natura 2000, l'évolution de son PLU par voie de déclaration de projet est soumise à</w:t>
      </w:r>
      <w:r w:rsidR="00BC4747" w:rsidRPr="008D6890">
        <w:rPr>
          <w:rFonts w:ascii="Selawik" w:hAnsi="Selawik"/>
          <w:b/>
          <w:sz w:val="23"/>
          <w:szCs w:val="23"/>
        </w:rPr>
        <w:t xml:space="preserve"> </w:t>
      </w:r>
      <w:r w:rsidR="0006301C">
        <w:rPr>
          <w:rFonts w:ascii="Selawik" w:hAnsi="Selawik"/>
          <w:b/>
          <w:sz w:val="23"/>
          <w:szCs w:val="23"/>
        </w:rPr>
        <w:t xml:space="preserve">évaluation </w:t>
      </w:r>
      <w:r w:rsidR="002F4CD6">
        <w:rPr>
          <w:rFonts w:ascii="Selawik" w:hAnsi="Selawik"/>
          <w:b/>
          <w:sz w:val="23"/>
          <w:szCs w:val="23"/>
        </w:rPr>
        <w:t>environnementale</w:t>
      </w:r>
      <w:r w:rsidRPr="00B1529B">
        <w:rPr>
          <w:rFonts w:ascii="Selawik" w:hAnsi="Selawik"/>
          <w:sz w:val="23"/>
          <w:szCs w:val="23"/>
        </w:rPr>
        <w:t>.</w:t>
      </w:r>
      <w:r w:rsidR="00906A2B">
        <w:rPr>
          <w:rFonts w:ascii="Selawik" w:hAnsi="Selawik"/>
          <w:sz w:val="23"/>
          <w:szCs w:val="23"/>
        </w:rPr>
        <w:t xml:space="preserve"> Le porteur de projet a réalisé un ensemble d’inventaires écologiques et a réalisé le dossier d’étude d’impact. L’évaluation environnementale, proportionné au projet, se base sur ce corpus de documents et d’analyses de terrain. </w:t>
      </w:r>
      <w:r w:rsidRPr="00B1529B">
        <w:rPr>
          <w:rFonts w:ascii="Selawik" w:hAnsi="Selawik"/>
          <w:sz w:val="23"/>
          <w:szCs w:val="23"/>
        </w:rPr>
        <w:t>En application de l'article L122-14</w:t>
      </w:r>
      <w:r w:rsidR="00797F46">
        <w:rPr>
          <w:rFonts w:ascii="Selawik" w:hAnsi="Selawik"/>
          <w:sz w:val="23"/>
          <w:szCs w:val="23"/>
        </w:rPr>
        <w:t xml:space="preserve"> du code de l’environnement</w:t>
      </w:r>
      <w:r w:rsidRPr="00B1529B">
        <w:rPr>
          <w:rFonts w:ascii="Selawik" w:hAnsi="Selawik"/>
          <w:sz w:val="23"/>
          <w:szCs w:val="23"/>
        </w:rPr>
        <w:t xml:space="preserve"> une procédure commune d'évaluation environnementale est menée et l'étude d'impact du projet porte tant sur le projet lui-même que sur l'évolution du document d'urbanisme qui y est liée. </w:t>
      </w:r>
    </w:p>
    <w:p w14:paraId="56B73888" w14:textId="29500BF8" w:rsidR="00C846FC" w:rsidRDefault="002F5877" w:rsidP="00C846FC">
      <w:pPr>
        <w:spacing w:line="278" w:lineRule="auto"/>
        <w:rPr>
          <w:rFonts w:ascii="Calibri" w:hAnsi="Calibri" w:cs="Calibri"/>
          <w:sz w:val="23"/>
          <w:szCs w:val="23"/>
        </w:rPr>
      </w:pPr>
      <w:r w:rsidRPr="00B1529B">
        <w:rPr>
          <w:rFonts w:ascii="Selawik" w:hAnsi="Selawik"/>
          <w:sz w:val="23"/>
          <w:szCs w:val="23"/>
        </w:rPr>
        <w:t xml:space="preserve">La présente déclaration de projet emportant mise en compatibilité du PLU </w:t>
      </w:r>
      <w:r w:rsidR="00C65932">
        <w:rPr>
          <w:rFonts w:ascii="Selawik" w:hAnsi="Selawik"/>
          <w:sz w:val="23"/>
          <w:szCs w:val="23"/>
        </w:rPr>
        <w:t xml:space="preserve">de </w:t>
      </w:r>
      <w:r w:rsidR="00CF3E8D">
        <w:rPr>
          <w:rFonts w:ascii="Selawik" w:hAnsi="Selawik"/>
          <w:sz w:val="23"/>
          <w:szCs w:val="23"/>
        </w:rPr>
        <w:t>Sully-sur-Loire</w:t>
      </w:r>
      <w:r w:rsidRPr="00B1529B">
        <w:rPr>
          <w:rFonts w:ascii="Selawik" w:hAnsi="Selawik"/>
          <w:sz w:val="23"/>
          <w:szCs w:val="23"/>
        </w:rPr>
        <w:t xml:space="preserve"> a pour objectif de permettre l’</w:t>
      </w:r>
      <w:r w:rsidR="00906A2B">
        <w:rPr>
          <w:rFonts w:ascii="Selawik" w:hAnsi="Selawik"/>
          <w:sz w:val="23"/>
          <w:szCs w:val="23"/>
        </w:rPr>
        <w:t>extension d’une zone de recherches et de carrières</w:t>
      </w:r>
      <w:r w:rsidR="00906A2B">
        <w:rPr>
          <w:rFonts w:ascii="Calibri" w:hAnsi="Calibri" w:cs="Calibri"/>
          <w:sz w:val="23"/>
          <w:szCs w:val="23"/>
        </w:rPr>
        <w:t>.</w:t>
      </w:r>
    </w:p>
    <w:p w14:paraId="15D10727" w14:textId="77777777" w:rsidR="00D9352B" w:rsidRDefault="00D9352B" w:rsidP="00EF3E04">
      <w:pPr>
        <w:pStyle w:val="Titre1"/>
      </w:pPr>
      <w:bookmarkStart w:id="18" w:name="_Toc99556088"/>
      <w:r>
        <w:t>Chronologie du porteur de projet</w:t>
      </w:r>
      <w:bookmarkEnd w:id="18"/>
    </w:p>
    <w:p w14:paraId="1C3CF11F" w14:textId="14F86C69" w:rsidR="00BA3957" w:rsidRDefault="009479AF" w:rsidP="00C846FC">
      <w:pPr>
        <w:spacing w:line="278" w:lineRule="auto"/>
        <w:rPr>
          <w:rFonts w:ascii="Selawik" w:hAnsi="Selawik"/>
          <w:sz w:val="23"/>
          <w:szCs w:val="23"/>
        </w:rPr>
      </w:pPr>
      <w:r>
        <w:rPr>
          <w:rFonts w:ascii="Selawik" w:hAnsi="Selawik"/>
          <w:sz w:val="23"/>
          <w:szCs w:val="23"/>
        </w:rPr>
        <w:t>EQIOM Granulats</w:t>
      </w:r>
      <w:r w:rsidR="00AA7291">
        <w:rPr>
          <w:rFonts w:ascii="Selawik" w:hAnsi="Selawik"/>
          <w:sz w:val="23"/>
          <w:szCs w:val="23"/>
        </w:rPr>
        <w:t xml:space="preserve"> </w:t>
      </w:r>
      <w:r w:rsidR="00BA3957">
        <w:rPr>
          <w:rFonts w:ascii="Selawik" w:hAnsi="Selawik"/>
          <w:sz w:val="23"/>
          <w:szCs w:val="23"/>
        </w:rPr>
        <w:t xml:space="preserve">a ouvert la carrière de Sully-sur-Loire en 1965, elle a déposé un certain nombre de </w:t>
      </w:r>
      <w:r w:rsidR="00AB51F1">
        <w:rPr>
          <w:rFonts w:ascii="Selawik" w:hAnsi="Selawik"/>
          <w:sz w:val="23"/>
          <w:szCs w:val="23"/>
        </w:rPr>
        <w:t>dossiers</w:t>
      </w:r>
      <w:r w:rsidR="00BA3957">
        <w:rPr>
          <w:rFonts w:ascii="Selawik" w:hAnsi="Selawik"/>
          <w:sz w:val="23"/>
          <w:szCs w:val="23"/>
        </w:rPr>
        <w:t xml:space="preserve"> de renouvellement et d’extension autour du périmètre initial. </w:t>
      </w:r>
    </w:p>
    <w:p w14:paraId="7C66FCE9" w14:textId="08AD5234" w:rsidR="00591C79" w:rsidRDefault="003012E2" w:rsidP="00C846FC">
      <w:pPr>
        <w:spacing w:line="278" w:lineRule="auto"/>
        <w:rPr>
          <w:rFonts w:ascii="Calibri" w:hAnsi="Calibri" w:cs="Calibri"/>
          <w:sz w:val="23"/>
          <w:szCs w:val="23"/>
        </w:rPr>
      </w:pPr>
      <w:r>
        <w:rPr>
          <w:rFonts w:ascii="Selawik" w:hAnsi="Selawik"/>
          <w:sz w:val="23"/>
          <w:szCs w:val="23"/>
        </w:rPr>
        <w:t>L</w:t>
      </w:r>
      <w:r w:rsidR="00BA3957">
        <w:rPr>
          <w:rFonts w:ascii="Selawik" w:hAnsi="Selawik"/>
          <w:sz w:val="23"/>
          <w:szCs w:val="23"/>
        </w:rPr>
        <w:t xml:space="preserve">e </w:t>
      </w:r>
      <w:r w:rsidR="00C93188">
        <w:rPr>
          <w:rFonts w:ascii="Selawik" w:hAnsi="Selawik"/>
          <w:sz w:val="23"/>
          <w:szCs w:val="23"/>
        </w:rPr>
        <w:t xml:space="preserve">porteur de projet </w:t>
      </w:r>
      <w:r w:rsidRPr="00DC7FA9">
        <w:rPr>
          <w:rFonts w:ascii="Selawik" w:hAnsi="Selawik"/>
          <w:sz w:val="23"/>
          <w:szCs w:val="23"/>
        </w:rPr>
        <w:t xml:space="preserve">a déposé le </w:t>
      </w:r>
      <w:r w:rsidR="00DC7FA9" w:rsidRPr="00DC7FA9">
        <w:rPr>
          <w:rFonts w:ascii="Selawik" w:hAnsi="Selawik"/>
          <w:sz w:val="23"/>
          <w:szCs w:val="23"/>
        </w:rPr>
        <w:t>17 mai 2021</w:t>
      </w:r>
      <w:r w:rsidRPr="00DC7FA9">
        <w:rPr>
          <w:rFonts w:ascii="Selawik" w:hAnsi="Selawik"/>
          <w:sz w:val="23"/>
          <w:szCs w:val="23"/>
        </w:rPr>
        <w:t xml:space="preserve"> un</w:t>
      </w:r>
      <w:r>
        <w:rPr>
          <w:rFonts w:ascii="Selawik" w:hAnsi="Selawik"/>
          <w:sz w:val="23"/>
          <w:szCs w:val="23"/>
        </w:rPr>
        <w:t xml:space="preserve"> dossier de Demande d’Autorisation Environnementale (DAE) pour le renouvellement partiel et l’extension d’une carrière alluvionnaire au titre des rubriques 2510, 2515 et 2517 des Installations Classées pour la Protection de l’Environnement (ICPE)</w:t>
      </w:r>
      <w:r>
        <w:rPr>
          <w:rFonts w:ascii="Calibri" w:hAnsi="Calibri" w:cs="Calibri"/>
          <w:sz w:val="23"/>
          <w:szCs w:val="23"/>
        </w:rPr>
        <w:t>.</w:t>
      </w:r>
      <w:r w:rsidR="00591C79">
        <w:rPr>
          <w:rFonts w:ascii="Calibri" w:hAnsi="Calibri" w:cs="Calibri"/>
          <w:sz w:val="23"/>
          <w:szCs w:val="23"/>
        </w:rPr>
        <w:t xml:space="preserve"> </w:t>
      </w:r>
    </w:p>
    <w:p w14:paraId="2FFBF7E8" w14:textId="57237DD2" w:rsidR="003012E2" w:rsidRDefault="003012E2" w:rsidP="00C846FC">
      <w:pPr>
        <w:spacing w:line="278" w:lineRule="auto"/>
        <w:rPr>
          <w:rFonts w:ascii="Selawik" w:hAnsi="Selawik"/>
          <w:sz w:val="23"/>
          <w:szCs w:val="23"/>
        </w:rPr>
      </w:pPr>
      <w:r w:rsidRPr="003012E2">
        <w:rPr>
          <w:rFonts w:ascii="Selawik" w:hAnsi="Selawik"/>
          <w:sz w:val="23"/>
          <w:szCs w:val="23"/>
        </w:rPr>
        <w:t xml:space="preserve">La déclaration de projet emportant mise en compatibilité </w:t>
      </w:r>
      <w:r>
        <w:rPr>
          <w:rFonts w:ascii="Selawik" w:hAnsi="Selawik"/>
          <w:sz w:val="23"/>
          <w:szCs w:val="23"/>
        </w:rPr>
        <w:t>est une autre étape administrative, indispensable au projet d’extension</w:t>
      </w:r>
      <w:r w:rsidR="00797F46">
        <w:rPr>
          <w:rFonts w:ascii="Selawik" w:hAnsi="Selawik"/>
          <w:sz w:val="23"/>
          <w:szCs w:val="23"/>
        </w:rPr>
        <w:t>. E</w:t>
      </w:r>
      <w:r>
        <w:rPr>
          <w:rFonts w:ascii="Selawik" w:hAnsi="Selawik"/>
          <w:sz w:val="23"/>
          <w:szCs w:val="23"/>
        </w:rPr>
        <w:t>n effet</w:t>
      </w:r>
      <w:r w:rsidR="00797F46">
        <w:rPr>
          <w:rFonts w:ascii="Selawik" w:hAnsi="Selawik"/>
          <w:sz w:val="23"/>
          <w:szCs w:val="23"/>
        </w:rPr>
        <w:t>,</w:t>
      </w:r>
      <w:r>
        <w:rPr>
          <w:rFonts w:ascii="Selawik" w:hAnsi="Selawik"/>
          <w:sz w:val="23"/>
          <w:szCs w:val="23"/>
        </w:rPr>
        <w:t xml:space="preserve"> le PLU en vigueur approuvé le </w:t>
      </w:r>
      <w:r w:rsidRPr="003012E2">
        <w:rPr>
          <w:rFonts w:ascii="Selawik" w:hAnsi="Selawik"/>
          <w:sz w:val="23"/>
          <w:szCs w:val="23"/>
        </w:rPr>
        <w:t>21 décembre 2017 n’autorise pas ce type d’occupation du sol sur le secteur en extension.</w:t>
      </w:r>
    </w:p>
    <w:p w14:paraId="56856823" w14:textId="45AEC7E4" w:rsidR="006E145C" w:rsidRDefault="009479AF" w:rsidP="00C846FC">
      <w:pPr>
        <w:spacing w:line="278" w:lineRule="auto"/>
        <w:rPr>
          <w:rFonts w:ascii="Selawik" w:hAnsi="Selawik"/>
          <w:sz w:val="23"/>
          <w:szCs w:val="23"/>
        </w:rPr>
      </w:pPr>
      <w:r>
        <w:rPr>
          <w:rFonts w:ascii="Selawik" w:hAnsi="Selawik"/>
          <w:sz w:val="23"/>
          <w:szCs w:val="23"/>
        </w:rPr>
        <w:t>EQIOM Granulats</w:t>
      </w:r>
      <w:r w:rsidR="00AA7291">
        <w:rPr>
          <w:rFonts w:ascii="Selawik" w:hAnsi="Selawik"/>
          <w:sz w:val="23"/>
          <w:szCs w:val="23"/>
        </w:rPr>
        <w:t xml:space="preserve"> </w:t>
      </w:r>
      <w:r w:rsidR="00711BDA">
        <w:rPr>
          <w:rFonts w:ascii="Selawik" w:hAnsi="Selawik"/>
          <w:sz w:val="23"/>
          <w:szCs w:val="23"/>
        </w:rPr>
        <w:t xml:space="preserve">se conformera à toutes </w:t>
      </w:r>
      <w:r w:rsidR="00701092">
        <w:rPr>
          <w:rFonts w:ascii="Selawik" w:hAnsi="Selawik"/>
          <w:sz w:val="23"/>
          <w:szCs w:val="23"/>
        </w:rPr>
        <w:t xml:space="preserve">autres procédures réglementaires, obligatoires, pour ce type de projet. </w:t>
      </w:r>
      <w:r w:rsidR="006E145C" w:rsidRPr="006E145C">
        <w:rPr>
          <w:rFonts w:ascii="Selawik" w:hAnsi="Selawik"/>
          <w:sz w:val="23"/>
          <w:szCs w:val="23"/>
        </w:rPr>
        <w:t xml:space="preserve">Dépendant du régime </w:t>
      </w:r>
      <w:r w:rsidR="00591C79">
        <w:rPr>
          <w:rFonts w:ascii="Selawik" w:hAnsi="Selawik"/>
          <w:sz w:val="23"/>
          <w:szCs w:val="23"/>
        </w:rPr>
        <w:t>des</w:t>
      </w:r>
      <w:r w:rsidR="00701092">
        <w:rPr>
          <w:rFonts w:ascii="Selawik" w:hAnsi="Selawik"/>
          <w:sz w:val="23"/>
          <w:szCs w:val="23"/>
        </w:rPr>
        <w:t xml:space="preserve"> ICPE</w:t>
      </w:r>
      <w:r w:rsidR="009E15B7">
        <w:rPr>
          <w:rFonts w:ascii="Selawik" w:hAnsi="Selawik"/>
          <w:sz w:val="23"/>
          <w:szCs w:val="23"/>
        </w:rPr>
        <w:t>,</w:t>
      </w:r>
      <w:r w:rsidR="00701092">
        <w:rPr>
          <w:rFonts w:ascii="Selawik" w:hAnsi="Selawik"/>
          <w:sz w:val="23"/>
          <w:szCs w:val="23"/>
        </w:rPr>
        <w:t xml:space="preserve"> </w:t>
      </w:r>
      <w:r w:rsidR="00701092" w:rsidRPr="009E15B7">
        <w:rPr>
          <w:rFonts w:ascii="Selawik" w:hAnsi="Selawik"/>
          <w:b/>
          <w:bCs/>
          <w:sz w:val="23"/>
          <w:szCs w:val="23"/>
        </w:rPr>
        <w:t>le porteur de projet se</w:t>
      </w:r>
      <w:r w:rsidR="006E145C" w:rsidRPr="009E15B7">
        <w:rPr>
          <w:rFonts w:ascii="Selawik" w:hAnsi="Selawik"/>
          <w:b/>
          <w:bCs/>
          <w:sz w:val="23"/>
          <w:szCs w:val="23"/>
        </w:rPr>
        <w:t xml:space="preserve"> conformera aux prescriptions du Code de l’Environnement</w:t>
      </w:r>
      <w:r w:rsidR="00591C79">
        <w:rPr>
          <w:rFonts w:ascii="Selawik" w:hAnsi="Selawik"/>
          <w:sz w:val="23"/>
          <w:szCs w:val="23"/>
        </w:rPr>
        <w:t>.</w:t>
      </w:r>
    </w:p>
    <w:p w14:paraId="56F8F336" w14:textId="47B3164E" w:rsidR="006E145C" w:rsidRPr="006E145C" w:rsidRDefault="006E145C" w:rsidP="00C846FC">
      <w:pPr>
        <w:spacing w:line="278" w:lineRule="auto"/>
        <w:rPr>
          <w:rFonts w:ascii="Selawik" w:hAnsi="Selawik"/>
          <w:sz w:val="23"/>
          <w:szCs w:val="23"/>
        </w:rPr>
      </w:pPr>
      <w:r w:rsidRPr="006E145C">
        <w:rPr>
          <w:rFonts w:ascii="Selawik" w:hAnsi="Selawik"/>
          <w:sz w:val="23"/>
          <w:szCs w:val="23"/>
        </w:rPr>
        <w:t xml:space="preserve">L’évaluation environnementale </w:t>
      </w:r>
      <w:r w:rsidR="00694845">
        <w:rPr>
          <w:rFonts w:ascii="Selawik" w:hAnsi="Selawik"/>
          <w:sz w:val="23"/>
          <w:szCs w:val="23"/>
        </w:rPr>
        <w:t>présente dans les différents chapitres de l’additif au rapport de présentation</w:t>
      </w:r>
      <w:r w:rsidRPr="006E145C">
        <w:rPr>
          <w:rFonts w:ascii="Selawik" w:hAnsi="Selawik"/>
          <w:sz w:val="23"/>
          <w:szCs w:val="23"/>
        </w:rPr>
        <w:t xml:space="preserve"> se base sur</w:t>
      </w:r>
      <w:r w:rsidRPr="006E145C">
        <w:rPr>
          <w:rFonts w:ascii="Calibri" w:hAnsi="Calibri" w:cs="Calibri"/>
          <w:sz w:val="23"/>
          <w:szCs w:val="23"/>
        </w:rPr>
        <w:t> </w:t>
      </w:r>
      <w:r w:rsidRPr="006E145C">
        <w:rPr>
          <w:rFonts w:ascii="Selawik" w:hAnsi="Selawik"/>
          <w:sz w:val="23"/>
          <w:szCs w:val="23"/>
        </w:rPr>
        <w:t xml:space="preserve">: </w:t>
      </w:r>
    </w:p>
    <w:p w14:paraId="2797390F" w14:textId="5B6ED9C9" w:rsidR="006E145C" w:rsidRPr="006E145C" w:rsidRDefault="0052049E" w:rsidP="00C846FC">
      <w:pPr>
        <w:pStyle w:val="Paragraphedeliste"/>
        <w:numPr>
          <w:ilvl w:val="0"/>
          <w:numId w:val="26"/>
        </w:numPr>
        <w:spacing w:line="278" w:lineRule="auto"/>
        <w:ind w:left="284" w:hanging="218"/>
        <w:contextualSpacing w:val="0"/>
        <w:rPr>
          <w:rFonts w:ascii="Selawik" w:hAnsi="Selawik"/>
          <w:sz w:val="23"/>
          <w:szCs w:val="23"/>
        </w:rPr>
      </w:pPr>
      <w:r w:rsidRPr="006E145C">
        <w:rPr>
          <w:rFonts w:ascii="Selawik" w:hAnsi="Selawik"/>
          <w:sz w:val="23"/>
          <w:szCs w:val="23"/>
        </w:rPr>
        <w:t>Des</w:t>
      </w:r>
      <w:r w:rsidR="006E145C" w:rsidRPr="006E145C">
        <w:rPr>
          <w:rFonts w:ascii="Selawik" w:hAnsi="Selawik"/>
          <w:sz w:val="23"/>
          <w:szCs w:val="23"/>
        </w:rPr>
        <w:t xml:space="preserve"> éléments détenus par </w:t>
      </w:r>
      <w:r w:rsidR="009479AF">
        <w:rPr>
          <w:rFonts w:ascii="Selawik" w:hAnsi="Selawik"/>
          <w:sz w:val="23"/>
          <w:szCs w:val="23"/>
        </w:rPr>
        <w:t>EQIOM Granulats</w:t>
      </w:r>
      <w:r w:rsidR="00AA7291">
        <w:rPr>
          <w:rFonts w:ascii="Selawik" w:hAnsi="Selawik"/>
          <w:sz w:val="23"/>
          <w:szCs w:val="23"/>
        </w:rPr>
        <w:t xml:space="preserve"> </w:t>
      </w:r>
      <w:r w:rsidR="006E145C" w:rsidRPr="006E145C">
        <w:rPr>
          <w:rFonts w:ascii="Selawik" w:hAnsi="Selawik"/>
          <w:sz w:val="23"/>
          <w:szCs w:val="23"/>
        </w:rPr>
        <w:t>à ce jour par rapport à l’implantation étudiée pour le projet d</w:t>
      </w:r>
      <w:r w:rsidR="00E75F4E">
        <w:rPr>
          <w:rFonts w:ascii="Selawik" w:hAnsi="Selawik"/>
          <w:sz w:val="23"/>
          <w:szCs w:val="23"/>
        </w:rPr>
        <w:t>’extension de la carrière (cf. bibliographie)</w:t>
      </w:r>
      <w:r w:rsidR="006E145C" w:rsidRPr="00E75F4E">
        <w:rPr>
          <w:rFonts w:ascii="Calibri" w:hAnsi="Calibri" w:cs="Calibri"/>
          <w:sz w:val="23"/>
          <w:szCs w:val="23"/>
        </w:rPr>
        <w:t> </w:t>
      </w:r>
      <w:r w:rsidR="006E145C" w:rsidRPr="006E145C">
        <w:rPr>
          <w:rFonts w:ascii="Selawik" w:hAnsi="Selawik"/>
          <w:sz w:val="23"/>
          <w:szCs w:val="23"/>
        </w:rPr>
        <w:t xml:space="preserve">; </w:t>
      </w:r>
    </w:p>
    <w:p w14:paraId="6F74B123" w14:textId="650D5D9B" w:rsidR="006E145C" w:rsidRPr="006E145C" w:rsidRDefault="0052049E" w:rsidP="00C846FC">
      <w:pPr>
        <w:pStyle w:val="Paragraphedeliste"/>
        <w:numPr>
          <w:ilvl w:val="0"/>
          <w:numId w:val="26"/>
        </w:numPr>
        <w:spacing w:line="278" w:lineRule="auto"/>
        <w:ind w:left="284" w:hanging="218"/>
        <w:contextualSpacing w:val="0"/>
        <w:rPr>
          <w:rFonts w:ascii="Selawik" w:hAnsi="Selawik"/>
          <w:sz w:val="23"/>
          <w:szCs w:val="23"/>
        </w:rPr>
      </w:pPr>
      <w:r w:rsidRPr="006E145C">
        <w:rPr>
          <w:rFonts w:ascii="Selawik" w:hAnsi="Selawik"/>
          <w:sz w:val="23"/>
          <w:szCs w:val="23"/>
        </w:rPr>
        <w:t>Des</w:t>
      </w:r>
      <w:r w:rsidR="006E145C" w:rsidRPr="006E145C">
        <w:rPr>
          <w:rFonts w:ascii="Selawik" w:hAnsi="Selawik"/>
          <w:sz w:val="23"/>
          <w:szCs w:val="23"/>
        </w:rPr>
        <w:t xml:space="preserve"> retours d’expériences des autres</w:t>
      </w:r>
      <w:r w:rsidR="00E75F4E">
        <w:rPr>
          <w:rFonts w:ascii="Selawik" w:hAnsi="Selawik"/>
          <w:sz w:val="23"/>
          <w:szCs w:val="23"/>
        </w:rPr>
        <w:t xml:space="preserve"> carrières</w:t>
      </w:r>
      <w:r w:rsidR="006E145C" w:rsidRPr="006E145C">
        <w:rPr>
          <w:rFonts w:ascii="Selawik" w:hAnsi="Selawik"/>
          <w:sz w:val="23"/>
          <w:szCs w:val="23"/>
        </w:rPr>
        <w:t xml:space="preserve"> exploitées par </w:t>
      </w:r>
      <w:r w:rsidR="009479AF">
        <w:rPr>
          <w:rFonts w:ascii="Selawik" w:hAnsi="Selawik"/>
          <w:sz w:val="23"/>
          <w:szCs w:val="23"/>
        </w:rPr>
        <w:t>EQIOM Granulats</w:t>
      </w:r>
      <w:r w:rsidR="006E145C" w:rsidRPr="006E145C">
        <w:rPr>
          <w:rFonts w:ascii="Selawik" w:hAnsi="Selawik"/>
          <w:sz w:val="23"/>
          <w:szCs w:val="23"/>
        </w:rPr>
        <w:t xml:space="preserve"> à l’échelle nationale. </w:t>
      </w:r>
    </w:p>
    <w:p w14:paraId="2380C035" w14:textId="6B438223" w:rsidR="005F0BA6" w:rsidRDefault="005F0BA6" w:rsidP="00EF3E04">
      <w:pPr>
        <w:pStyle w:val="Titre1"/>
      </w:pPr>
      <w:bookmarkStart w:id="19" w:name="_Toc99556089"/>
      <w:r w:rsidRPr="00286326">
        <w:lastRenderedPageBreak/>
        <w:t>Pr</w:t>
      </w:r>
      <w:r w:rsidR="00C950AD">
        <w:t>É</w:t>
      </w:r>
      <w:r w:rsidRPr="00286326">
        <w:t>sentation</w:t>
      </w:r>
      <w:r>
        <w:t xml:space="preserve"> de la démarche de d</w:t>
      </w:r>
      <w:r w:rsidR="00C950AD">
        <w:t>É</w:t>
      </w:r>
      <w:r>
        <w:t>claration de projet</w:t>
      </w:r>
      <w:bookmarkEnd w:id="19"/>
    </w:p>
    <w:p w14:paraId="1D5A65C8" w14:textId="77777777" w:rsidR="00286326" w:rsidRDefault="00286326" w:rsidP="00C846FC">
      <w:pPr>
        <w:pStyle w:val="Titre3"/>
        <w:numPr>
          <w:ilvl w:val="0"/>
          <w:numId w:val="8"/>
        </w:numPr>
        <w:spacing w:line="278" w:lineRule="auto"/>
      </w:pPr>
      <w:bookmarkStart w:id="20" w:name="_Toc99556090"/>
      <w:r>
        <w:t>Champ d’application</w:t>
      </w:r>
      <w:bookmarkEnd w:id="20"/>
    </w:p>
    <w:p w14:paraId="48E8D90D" w14:textId="1CF76545" w:rsidR="00E85E8C" w:rsidRDefault="00E85E8C" w:rsidP="00C846FC">
      <w:pPr>
        <w:spacing w:line="278" w:lineRule="auto"/>
        <w:rPr>
          <w:rFonts w:ascii="Selawik" w:hAnsi="Selawik"/>
          <w:b/>
          <w:sz w:val="23"/>
          <w:szCs w:val="23"/>
        </w:rPr>
      </w:pPr>
      <w:r>
        <w:rPr>
          <w:rFonts w:ascii="Selawik" w:hAnsi="Selawik"/>
          <w:b/>
          <w:sz w:val="23"/>
          <w:szCs w:val="23"/>
        </w:rPr>
        <w:t>Objectif</w:t>
      </w:r>
      <w:r w:rsidRPr="00E85E8C">
        <w:rPr>
          <w:rFonts w:ascii="Calibri" w:hAnsi="Calibri" w:cs="Calibri"/>
          <w:b/>
          <w:sz w:val="23"/>
          <w:szCs w:val="23"/>
        </w:rPr>
        <w:t> </w:t>
      </w:r>
      <w:r>
        <w:rPr>
          <w:rFonts w:ascii="Selawik" w:hAnsi="Selawik"/>
          <w:b/>
          <w:sz w:val="23"/>
          <w:szCs w:val="23"/>
        </w:rPr>
        <w:t>:</w:t>
      </w:r>
    </w:p>
    <w:p w14:paraId="0AA65DEE" w14:textId="7EF71998" w:rsidR="00E85E8C" w:rsidRPr="00E85E8C" w:rsidRDefault="00E85E8C" w:rsidP="00C846FC">
      <w:pPr>
        <w:spacing w:line="278" w:lineRule="auto"/>
        <w:rPr>
          <w:rFonts w:ascii="Selawik" w:hAnsi="Selawik"/>
          <w:bCs/>
          <w:sz w:val="23"/>
          <w:szCs w:val="23"/>
        </w:rPr>
      </w:pPr>
      <w:r w:rsidRPr="00E85E8C">
        <w:rPr>
          <w:rFonts w:ascii="Selawik" w:hAnsi="Selawik"/>
          <w:bCs/>
          <w:sz w:val="23"/>
          <w:szCs w:val="23"/>
        </w:rPr>
        <w:t>La loi du 1</w:t>
      </w:r>
      <w:r w:rsidRPr="00E85E8C">
        <w:rPr>
          <w:rFonts w:ascii="Selawik" w:hAnsi="Selawik"/>
          <w:bCs/>
          <w:sz w:val="23"/>
          <w:szCs w:val="23"/>
          <w:vertAlign w:val="superscript"/>
        </w:rPr>
        <w:t>er</w:t>
      </w:r>
      <w:r>
        <w:rPr>
          <w:rFonts w:ascii="Selawik" w:hAnsi="Selawik"/>
          <w:bCs/>
          <w:sz w:val="23"/>
          <w:szCs w:val="23"/>
        </w:rPr>
        <w:t xml:space="preserve"> </w:t>
      </w:r>
      <w:r w:rsidRPr="00E85E8C">
        <w:rPr>
          <w:rFonts w:ascii="Selawik" w:hAnsi="Selawik"/>
          <w:bCs/>
          <w:sz w:val="23"/>
          <w:szCs w:val="23"/>
        </w:rPr>
        <w:t xml:space="preserve">août 2003 a entendu permettre </w:t>
      </w:r>
      <w:r>
        <w:rPr>
          <w:rFonts w:ascii="Selawik" w:hAnsi="Selawik"/>
          <w:bCs/>
          <w:sz w:val="23"/>
          <w:szCs w:val="23"/>
        </w:rPr>
        <w:t>«</w:t>
      </w:r>
      <w:r>
        <w:rPr>
          <w:rFonts w:ascii="Calibri" w:hAnsi="Calibri" w:cs="Calibri"/>
          <w:bCs/>
          <w:sz w:val="23"/>
          <w:szCs w:val="23"/>
        </w:rPr>
        <w:t> </w:t>
      </w:r>
      <w:r w:rsidRPr="00E85E8C">
        <w:rPr>
          <w:rFonts w:ascii="Selawik" w:hAnsi="Selawik"/>
          <w:bCs/>
          <w:sz w:val="23"/>
          <w:szCs w:val="23"/>
        </w:rPr>
        <w:t>aux communes et aux établissements publics qui réalisent</w:t>
      </w:r>
      <w:r>
        <w:rPr>
          <w:rFonts w:ascii="Selawik" w:hAnsi="Selawik"/>
          <w:bCs/>
          <w:sz w:val="23"/>
          <w:szCs w:val="23"/>
        </w:rPr>
        <w:t xml:space="preserve"> </w:t>
      </w:r>
      <w:r w:rsidRPr="00E85E8C">
        <w:rPr>
          <w:rFonts w:ascii="Selawik" w:hAnsi="Selawik"/>
          <w:bCs/>
          <w:sz w:val="23"/>
          <w:szCs w:val="23"/>
        </w:rPr>
        <w:t>des opérations d'aménagement, notamment des opérations de rénovation urbaine, de disposer d'une</w:t>
      </w:r>
      <w:r>
        <w:rPr>
          <w:rFonts w:ascii="Selawik" w:hAnsi="Selawik"/>
          <w:bCs/>
          <w:sz w:val="23"/>
          <w:szCs w:val="23"/>
        </w:rPr>
        <w:t xml:space="preserve"> </w:t>
      </w:r>
      <w:r w:rsidRPr="00E85E8C">
        <w:rPr>
          <w:rFonts w:ascii="Selawik" w:hAnsi="Selawik"/>
          <w:bCs/>
          <w:sz w:val="23"/>
          <w:szCs w:val="23"/>
        </w:rPr>
        <w:t>procédure simple de mise en conformité des schémas de cohérence territoriale et des plans locaux</w:t>
      </w:r>
      <w:r>
        <w:rPr>
          <w:rFonts w:ascii="Selawik" w:hAnsi="Selawik"/>
          <w:bCs/>
          <w:sz w:val="23"/>
          <w:szCs w:val="23"/>
        </w:rPr>
        <w:t xml:space="preserve"> </w:t>
      </w:r>
      <w:r w:rsidRPr="00E85E8C">
        <w:rPr>
          <w:rFonts w:ascii="Selawik" w:hAnsi="Selawik"/>
          <w:bCs/>
          <w:sz w:val="23"/>
          <w:szCs w:val="23"/>
        </w:rPr>
        <w:t>d'urbanisme (PLU), lorsque ces documents n'avaient pas prévu l'opération, en se prononçant par une</w:t>
      </w:r>
      <w:r>
        <w:rPr>
          <w:rFonts w:ascii="Selawik" w:hAnsi="Selawik"/>
          <w:bCs/>
          <w:sz w:val="23"/>
          <w:szCs w:val="23"/>
        </w:rPr>
        <w:t xml:space="preserve"> </w:t>
      </w:r>
      <w:r w:rsidRPr="00E85E8C">
        <w:rPr>
          <w:rFonts w:ascii="Selawik" w:hAnsi="Selawik"/>
          <w:bCs/>
          <w:sz w:val="23"/>
          <w:szCs w:val="23"/>
        </w:rPr>
        <w:t>déclaration de projet sur l'intérêt général que présente l'opération</w:t>
      </w:r>
      <w:r>
        <w:rPr>
          <w:rFonts w:ascii="Calibri" w:hAnsi="Calibri" w:cs="Calibri"/>
          <w:bCs/>
          <w:sz w:val="23"/>
          <w:szCs w:val="23"/>
        </w:rPr>
        <w:t> </w:t>
      </w:r>
      <w:r>
        <w:rPr>
          <w:rFonts w:ascii="Selawik" w:hAnsi="Selawik" w:cs="Selawik"/>
          <w:bCs/>
          <w:sz w:val="23"/>
          <w:szCs w:val="23"/>
        </w:rPr>
        <w:t>»</w:t>
      </w:r>
      <w:r w:rsidRPr="00E85E8C">
        <w:rPr>
          <w:rFonts w:ascii="Selawik" w:hAnsi="Selawik"/>
          <w:bCs/>
          <w:sz w:val="23"/>
          <w:szCs w:val="23"/>
        </w:rPr>
        <w:t>.</w:t>
      </w:r>
    </w:p>
    <w:p w14:paraId="177858D7" w14:textId="0C687E30" w:rsidR="00E85E8C" w:rsidRPr="00E85E8C" w:rsidRDefault="00E85E8C" w:rsidP="00C846FC">
      <w:pPr>
        <w:spacing w:line="278" w:lineRule="auto"/>
        <w:rPr>
          <w:rFonts w:ascii="Selawik" w:hAnsi="Selawik"/>
          <w:bCs/>
          <w:sz w:val="23"/>
          <w:szCs w:val="23"/>
        </w:rPr>
      </w:pPr>
      <w:r w:rsidRPr="00E85E8C">
        <w:rPr>
          <w:rFonts w:ascii="Selawik" w:hAnsi="Selawik"/>
          <w:bCs/>
          <w:sz w:val="23"/>
          <w:szCs w:val="23"/>
        </w:rPr>
        <w:t>La finalité première de cette procédure, régie par l'article L. 300-6 du code de l'urbanisme, est donc la</w:t>
      </w:r>
      <w:r>
        <w:rPr>
          <w:rFonts w:ascii="Selawik" w:hAnsi="Selawik"/>
          <w:bCs/>
          <w:sz w:val="23"/>
          <w:szCs w:val="23"/>
        </w:rPr>
        <w:t xml:space="preserve"> </w:t>
      </w:r>
      <w:r w:rsidRPr="00E85E8C">
        <w:rPr>
          <w:rFonts w:ascii="Selawik" w:hAnsi="Selawik"/>
          <w:b/>
          <w:sz w:val="23"/>
          <w:szCs w:val="23"/>
        </w:rPr>
        <w:t>mise en compatibilité simple et accélérée des documents d'urbanisme.</w:t>
      </w:r>
    </w:p>
    <w:p w14:paraId="60FFF55E" w14:textId="7EE802A1" w:rsidR="00AF270A" w:rsidRDefault="00E85E8C" w:rsidP="00C846FC">
      <w:pPr>
        <w:spacing w:line="278" w:lineRule="auto"/>
        <w:rPr>
          <w:rFonts w:ascii="Selawik" w:hAnsi="Selawik"/>
          <w:bCs/>
          <w:sz w:val="23"/>
          <w:szCs w:val="23"/>
        </w:rPr>
      </w:pPr>
      <w:r w:rsidRPr="00E85E8C">
        <w:rPr>
          <w:rFonts w:ascii="Selawik" w:hAnsi="Selawik"/>
          <w:bCs/>
          <w:sz w:val="23"/>
          <w:szCs w:val="23"/>
        </w:rPr>
        <w:t>De son côté, la déclaration de projet relevant du code de l'urbanisme était initialement réservée aux collectivités territoriales, avant d'être étendue à l'État et à ses établissements publics par la loi du 13 juillet 2006 portant engagement national pour le logement</w:t>
      </w:r>
      <w:r>
        <w:rPr>
          <w:rFonts w:ascii="Selawik" w:hAnsi="Selawik"/>
          <w:bCs/>
          <w:sz w:val="23"/>
          <w:szCs w:val="23"/>
        </w:rPr>
        <w:t>.</w:t>
      </w:r>
      <w:r w:rsidRPr="00E85E8C">
        <w:rPr>
          <w:rFonts w:ascii="LiberationSans" w:hAnsi="LiberationSans" w:cs="LiberationSans"/>
          <w:sz w:val="21"/>
          <w:szCs w:val="21"/>
          <w:lang w:eastAsia="fr-FR"/>
        </w:rPr>
        <w:t xml:space="preserve"> </w:t>
      </w:r>
      <w:r w:rsidRPr="00E85E8C">
        <w:rPr>
          <w:rFonts w:ascii="Selawik" w:hAnsi="Selawik"/>
          <w:bCs/>
          <w:sz w:val="23"/>
          <w:szCs w:val="23"/>
        </w:rPr>
        <w:t>Enfin, la loi Grenelle II du 12 juillet 2010 a encore étendu les possibilités offertes par la déclaration de</w:t>
      </w:r>
      <w:r>
        <w:rPr>
          <w:rFonts w:ascii="Selawik" w:hAnsi="Selawik"/>
          <w:bCs/>
          <w:sz w:val="23"/>
          <w:szCs w:val="23"/>
        </w:rPr>
        <w:t xml:space="preserve"> </w:t>
      </w:r>
      <w:r w:rsidRPr="00E85E8C">
        <w:rPr>
          <w:rFonts w:ascii="Selawik" w:hAnsi="Selawik"/>
          <w:bCs/>
          <w:sz w:val="23"/>
          <w:szCs w:val="23"/>
        </w:rPr>
        <w:t xml:space="preserve">projet lorsqu'elle est mise en </w:t>
      </w:r>
      <w:r w:rsidR="00AF270A" w:rsidRPr="00E85E8C">
        <w:rPr>
          <w:rFonts w:ascii="Selawik" w:hAnsi="Selawik"/>
          <w:bCs/>
          <w:sz w:val="23"/>
          <w:szCs w:val="23"/>
        </w:rPr>
        <w:t>œuvre</w:t>
      </w:r>
      <w:r w:rsidRPr="00E85E8C">
        <w:rPr>
          <w:rFonts w:ascii="Selawik" w:hAnsi="Selawik"/>
          <w:bCs/>
          <w:sz w:val="23"/>
          <w:szCs w:val="23"/>
        </w:rPr>
        <w:t xml:space="preserve"> par l'État, celui-ci pouvant désormais procéder en même temps</w:t>
      </w:r>
      <w:r>
        <w:rPr>
          <w:rFonts w:ascii="Selawik" w:hAnsi="Selawik"/>
          <w:bCs/>
          <w:sz w:val="23"/>
          <w:szCs w:val="23"/>
        </w:rPr>
        <w:t xml:space="preserve"> </w:t>
      </w:r>
      <w:r w:rsidRPr="00E85E8C">
        <w:rPr>
          <w:rFonts w:ascii="Selawik" w:hAnsi="Selawik"/>
          <w:bCs/>
          <w:sz w:val="23"/>
          <w:szCs w:val="23"/>
        </w:rPr>
        <w:t>qu'à la mise en compatibilité du PLU, aux "</w:t>
      </w:r>
      <w:r w:rsidRPr="00E85E8C">
        <w:rPr>
          <w:rFonts w:ascii="Selawik" w:hAnsi="Selawik"/>
          <w:bCs/>
          <w:i/>
          <w:iCs/>
          <w:sz w:val="23"/>
          <w:szCs w:val="23"/>
        </w:rPr>
        <w:t>adaptations nécessaires</w:t>
      </w:r>
      <w:r w:rsidRPr="00E85E8C">
        <w:rPr>
          <w:rFonts w:ascii="Selawik" w:hAnsi="Selawik"/>
          <w:bCs/>
          <w:sz w:val="23"/>
          <w:szCs w:val="23"/>
        </w:rPr>
        <w:t>" d'autres documents d'urbanisme et</w:t>
      </w:r>
      <w:r>
        <w:rPr>
          <w:rFonts w:ascii="Selawik" w:hAnsi="Selawik"/>
          <w:bCs/>
          <w:sz w:val="23"/>
          <w:szCs w:val="23"/>
        </w:rPr>
        <w:t xml:space="preserve"> </w:t>
      </w:r>
      <w:r w:rsidRPr="00E85E8C">
        <w:rPr>
          <w:rFonts w:ascii="Selawik" w:hAnsi="Selawik"/>
          <w:bCs/>
          <w:sz w:val="23"/>
          <w:szCs w:val="23"/>
        </w:rPr>
        <w:t>plans/programmes.</w:t>
      </w:r>
    </w:p>
    <w:p w14:paraId="6C580452" w14:textId="77777777" w:rsidR="00286326" w:rsidRPr="00EB5005" w:rsidRDefault="00286326" w:rsidP="00C846FC">
      <w:pPr>
        <w:spacing w:line="278" w:lineRule="auto"/>
        <w:rPr>
          <w:rFonts w:ascii="Selawik" w:hAnsi="Selawik"/>
          <w:b/>
          <w:sz w:val="23"/>
          <w:szCs w:val="23"/>
        </w:rPr>
      </w:pPr>
      <w:r w:rsidRPr="00EB5005">
        <w:rPr>
          <w:rFonts w:ascii="Selawik" w:hAnsi="Selawik"/>
          <w:b/>
          <w:sz w:val="23"/>
          <w:szCs w:val="23"/>
        </w:rPr>
        <w:t>Il existe deux cas de recours à la déclaration de projet :</w:t>
      </w:r>
    </w:p>
    <w:p w14:paraId="07AAA4F8" w14:textId="4DB22F18" w:rsidR="00286326" w:rsidRPr="00286326" w:rsidRDefault="00F77783" w:rsidP="00C846FC">
      <w:pPr>
        <w:numPr>
          <w:ilvl w:val="0"/>
          <w:numId w:val="9"/>
        </w:numPr>
        <w:spacing w:line="278" w:lineRule="auto"/>
        <w:ind w:left="352" w:hanging="284"/>
        <w:rPr>
          <w:rFonts w:ascii="Selawik" w:hAnsi="Selawik"/>
          <w:sz w:val="23"/>
          <w:szCs w:val="23"/>
        </w:rPr>
      </w:pPr>
      <w:r w:rsidRPr="00D3684C">
        <w:rPr>
          <w:rFonts w:ascii="Selawik" w:hAnsi="Selawik"/>
          <w:color w:val="002060"/>
          <w:sz w:val="23"/>
          <w:szCs w:val="23"/>
          <w:u w:val="single"/>
        </w:rPr>
        <w:t>Cas</w:t>
      </w:r>
      <w:r w:rsidR="00286326" w:rsidRPr="00D3684C">
        <w:rPr>
          <w:rFonts w:ascii="Selawik" w:hAnsi="Selawik"/>
          <w:color w:val="002060"/>
          <w:sz w:val="23"/>
          <w:szCs w:val="23"/>
          <w:u w:val="single"/>
        </w:rPr>
        <w:t xml:space="preserve"> où le recours à la déclaration de projet est possible</w:t>
      </w:r>
      <w:r w:rsidR="00286326" w:rsidRPr="00286326">
        <w:rPr>
          <w:rFonts w:ascii="Selawik" w:hAnsi="Selawik"/>
          <w:sz w:val="23"/>
          <w:szCs w:val="23"/>
        </w:rPr>
        <w:t xml:space="preserve"> : il s’agit d’une </w:t>
      </w:r>
      <w:r w:rsidR="00286326" w:rsidRPr="00774711">
        <w:rPr>
          <w:rFonts w:ascii="Selawik" w:hAnsi="Selawik"/>
          <w:b/>
          <w:bCs/>
          <w:i/>
          <w:iCs/>
          <w:color w:val="002060"/>
          <w:sz w:val="23"/>
          <w:szCs w:val="23"/>
        </w:rPr>
        <w:t>action ou</w:t>
      </w:r>
      <w:r w:rsidR="00EB5005" w:rsidRPr="00774711">
        <w:rPr>
          <w:rFonts w:ascii="Selawik" w:hAnsi="Selawik"/>
          <w:b/>
          <w:bCs/>
          <w:i/>
          <w:iCs/>
          <w:color w:val="002060"/>
          <w:sz w:val="23"/>
          <w:szCs w:val="23"/>
        </w:rPr>
        <w:t xml:space="preserve"> </w:t>
      </w:r>
      <w:r w:rsidR="00286326" w:rsidRPr="00774711">
        <w:rPr>
          <w:rFonts w:ascii="Selawik" w:hAnsi="Selawik"/>
          <w:b/>
          <w:bCs/>
          <w:i/>
          <w:iCs/>
          <w:color w:val="002060"/>
          <w:sz w:val="23"/>
          <w:szCs w:val="23"/>
        </w:rPr>
        <w:t>une opération d'aménagement</w:t>
      </w:r>
      <w:r w:rsidR="00774711">
        <w:rPr>
          <w:rFonts w:ascii="Selawik" w:hAnsi="Selawik"/>
          <w:b/>
          <w:bCs/>
          <w:i/>
          <w:iCs/>
          <w:color w:val="002060"/>
          <w:sz w:val="23"/>
          <w:szCs w:val="23"/>
        </w:rPr>
        <w:t>*</w:t>
      </w:r>
      <w:r w:rsidR="00286326" w:rsidRPr="00286326">
        <w:rPr>
          <w:rFonts w:ascii="Selawik" w:hAnsi="Selawik"/>
          <w:sz w:val="23"/>
          <w:szCs w:val="23"/>
        </w:rPr>
        <w:t xml:space="preserve"> ou de la réalisation d'un programme de construction</w:t>
      </w:r>
      <w:r w:rsidR="00EB5005">
        <w:rPr>
          <w:rFonts w:ascii="Selawik" w:hAnsi="Selawik"/>
          <w:sz w:val="23"/>
          <w:szCs w:val="23"/>
        </w:rPr>
        <w:t xml:space="preserve"> </w:t>
      </w:r>
      <w:r w:rsidR="00286326" w:rsidRPr="00F71C72">
        <w:rPr>
          <w:rFonts w:ascii="Selawik" w:hAnsi="Selawik"/>
          <w:b/>
          <w:sz w:val="23"/>
          <w:szCs w:val="23"/>
        </w:rPr>
        <w:t>public ou privé</w:t>
      </w:r>
      <w:r w:rsidR="00286326" w:rsidRPr="00286326">
        <w:rPr>
          <w:rFonts w:ascii="Selawik" w:hAnsi="Selawik"/>
          <w:sz w:val="23"/>
          <w:szCs w:val="23"/>
        </w:rPr>
        <w:t xml:space="preserve"> qui nécessite la mise en compatibilité du PLU et pour laquelle</w:t>
      </w:r>
      <w:r w:rsidR="00EB5005">
        <w:rPr>
          <w:rFonts w:ascii="Selawik" w:hAnsi="Selawik"/>
          <w:sz w:val="23"/>
          <w:szCs w:val="23"/>
        </w:rPr>
        <w:t xml:space="preserve"> </w:t>
      </w:r>
      <w:r w:rsidR="00286326" w:rsidRPr="00286326">
        <w:rPr>
          <w:rFonts w:ascii="Selawik" w:hAnsi="Selawik"/>
          <w:sz w:val="23"/>
          <w:szCs w:val="23"/>
        </w:rPr>
        <w:t>l'établissement public de coopération intercommunale compétent en matière de</w:t>
      </w:r>
      <w:r w:rsidR="00EB5005">
        <w:rPr>
          <w:rFonts w:ascii="Selawik" w:hAnsi="Selawik"/>
          <w:sz w:val="23"/>
          <w:szCs w:val="23"/>
        </w:rPr>
        <w:t xml:space="preserve"> </w:t>
      </w:r>
      <w:r w:rsidR="00286326" w:rsidRPr="00286326">
        <w:rPr>
          <w:rFonts w:ascii="Selawik" w:hAnsi="Selawik"/>
          <w:sz w:val="23"/>
          <w:szCs w:val="23"/>
        </w:rPr>
        <w:t>plan local d'urbanisme ou la commune a décidé, en application de l'article L. 300-6</w:t>
      </w:r>
      <w:r w:rsidR="000103E9">
        <w:rPr>
          <w:rFonts w:ascii="Selawik" w:hAnsi="Selawik"/>
          <w:sz w:val="23"/>
          <w:szCs w:val="23"/>
        </w:rPr>
        <w:t xml:space="preserve"> du code de l’urbanisme</w:t>
      </w:r>
      <w:r w:rsidR="00286326" w:rsidRPr="00286326">
        <w:rPr>
          <w:rFonts w:ascii="Selawik" w:hAnsi="Selawik"/>
          <w:sz w:val="23"/>
          <w:szCs w:val="23"/>
        </w:rPr>
        <w:t>,</w:t>
      </w:r>
      <w:r w:rsidR="00EB5005">
        <w:rPr>
          <w:rFonts w:ascii="Selawik" w:hAnsi="Selawik"/>
          <w:sz w:val="23"/>
          <w:szCs w:val="23"/>
        </w:rPr>
        <w:t xml:space="preserve"> </w:t>
      </w:r>
      <w:r w:rsidR="00286326" w:rsidRPr="00286326">
        <w:rPr>
          <w:rFonts w:ascii="Selawik" w:hAnsi="Selawik"/>
          <w:sz w:val="23"/>
          <w:szCs w:val="23"/>
        </w:rPr>
        <w:t>de se prononcer, par une déclaration de projet, sur l'intérêt général ;</w:t>
      </w:r>
    </w:p>
    <w:p w14:paraId="38877637" w14:textId="76D1A9E3" w:rsidR="00286326" w:rsidRPr="00286326" w:rsidRDefault="00F77783" w:rsidP="00C846FC">
      <w:pPr>
        <w:numPr>
          <w:ilvl w:val="0"/>
          <w:numId w:val="9"/>
        </w:numPr>
        <w:spacing w:after="240" w:line="278" w:lineRule="auto"/>
        <w:ind w:left="352" w:hanging="284"/>
        <w:rPr>
          <w:rFonts w:ascii="Selawik" w:hAnsi="Selawik"/>
          <w:sz w:val="23"/>
          <w:szCs w:val="23"/>
        </w:rPr>
      </w:pPr>
      <w:r w:rsidRPr="00D3684C">
        <w:rPr>
          <w:rFonts w:ascii="Selawik" w:hAnsi="Selawik"/>
          <w:color w:val="002060"/>
          <w:sz w:val="23"/>
          <w:szCs w:val="23"/>
          <w:u w:val="single"/>
        </w:rPr>
        <w:t>Cas</w:t>
      </w:r>
      <w:r w:rsidR="00286326" w:rsidRPr="00D3684C">
        <w:rPr>
          <w:rFonts w:ascii="Selawik" w:hAnsi="Selawik"/>
          <w:color w:val="002060"/>
          <w:sz w:val="23"/>
          <w:szCs w:val="23"/>
          <w:u w:val="single"/>
        </w:rPr>
        <w:t xml:space="preserve"> particulier où le recours à la déclaration de projet est obligatoire en application</w:t>
      </w:r>
      <w:r w:rsidR="00EB5005" w:rsidRPr="00D3684C">
        <w:rPr>
          <w:rFonts w:ascii="Selawik" w:hAnsi="Selawik"/>
          <w:color w:val="002060"/>
          <w:sz w:val="23"/>
          <w:szCs w:val="23"/>
          <w:u w:val="single"/>
        </w:rPr>
        <w:t xml:space="preserve"> </w:t>
      </w:r>
      <w:r w:rsidR="00286326" w:rsidRPr="00D3684C">
        <w:rPr>
          <w:rFonts w:ascii="Selawik" w:hAnsi="Selawik"/>
          <w:color w:val="002060"/>
          <w:sz w:val="23"/>
          <w:szCs w:val="23"/>
          <w:u w:val="single"/>
        </w:rPr>
        <w:t>de l'article L. 126-1 du code de l'environnement</w:t>
      </w:r>
      <w:r w:rsidR="00286326" w:rsidRPr="00D3684C">
        <w:rPr>
          <w:rFonts w:ascii="Selawik" w:hAnsi="Selawik"/>
          <w:color w:val="002060"/>
          <w:sz w:val="23"/>
          <w:szCs w:val="23"/>
        </w:rPr>
        <w:t xml:space="preserve"> </w:t>
      </w:r>
      <w:r w:rsidR="00286326" w:rsidRPr="00286326">
        <w:rPr>
          <w:rFonts w:ascii="Selawik" w:hAnsi="Selawik"/>
          <w:sz w:val="23"/>
          <w:szCs w:val="23"/>
        </w:rPr>
        <w:t xml:space="preserve">: il s’agit d’un projet </w:t>
      </w:r>
      <w:r w:rsidR="00286326" w:rsidRPr="00F71C72">
        <w:rPr>
          <w:rFonts w:ascii="Selawik" w:hAnsi="Selawik"/>
          <w:b/>
          <w:sz w:val="23"/>
          <w:szCs w:val="23"/>
        </w:rPr>
        <w:t>public</w:t>
      </w:r>
      <w:r w:rsidR="00286326" w:rsidRPr="00286326">
        <w:rPr>
          <w:rFonts w:ascii="Selawik" w:hAnsi="Selawik"/>
          <w:sz w:val="23"/>
          <w:szCs w:val="23"/>
        </w:rPr>
        <w:t xml:space="preserve"> de</w:t>
      </w:r>
      <w:r w:rsidR="00EB5005">
        <w:rPr>
          <w:rFonts w:ascii="Selawik" w:hAnsi="Selawik"/>
          <w:sz w:val="23"/>
          <w:szCs w:val="23"/>
        </w:rPr>
        <w:t xml:space="preserve"> </w:t>
      </w:r>
      <w:r w:rsidR="00286326" w:rsidRPr="00286326">
        <w:rPr>
          <w:rFonts w:ascii="Selawik" w:hAnsi="Selawik"/>
          <w:sz w:val="23"/>
          <w:szCs w:val="23"/>
        </w:rPr>
        <w:t>travaux, d’aménagements ou d’ouvrages qui a fait l’objet d’une enquête publique en</w:t>
      </w:r>
      <w:r w:rsidR="00EB5005">
        <w:rPr>
          <w:rFonts w:ascii="Selawik" w:hAnsi="Selawik"/>
          <w:sz w:val="23"/>
          <w:szCs w:val="23"/>
        </w:rPr>
        <w:t xml:space="preserve"> </w:t>
      </w:r>
      <w:r w:rsidR="00286326" w:rsidRPr="00286326">
        <w:rPr>
          <w:rFonts w:ascii="Selawik" w:hAnsi="Selawik"/>
          <w:sz w:val="23"/>
          <w:szCs w:val="23"/>
        </w:rPr>
        <w:t>application des articles L. 123-1 et L. 123-2 du code de l’environnement et pour</w:t>
      </w:r>
      <w:r w:rsidR="00EB5005">
        <w:rPr>
          <w:rFonts w:ascii="Selawik" w:hAnsi="Selawik"/>
          <w:sz w:val="23"/>
          <w:szCs w:val="23"/>
        </w:rPr>
        <w:t xml:space="preserve"> </w:t>
      </w:r>
      <w:r w:rsidR="00286326" w:rsidRPr="00286326">
        <w:rPr>
          <w:rFonts w:ascii="Selawik" w:hAnsi="Selawik"/>
          <w:sz w:val="23"/>
          <w:szCs w:val="23"/>
        </w:rPr>
        <w:t xml:space="preserve">lequel le conseil municipal ou </w:t>
      </w:r>
      <w:r w:rsidR="00DC7FA9">
        <w:rPr>
          <w:rFonts w:ascii="Selawik" w:hAnsi="Selawik"/>
          <w:sz w:val="23"/>
          <w:szCs w:val="23"/>
        </w:rPr>
        <w:t xml:space="preserve">le conseil communautaire (si autorité compétente) </w:t>
      </w:r>
      <w:r w:rsidR="00286326" w:rsidRPr="00286326">
        <w:rPr>
          <w:rFonts w:ascii="Selawik" w:hAnsi="Selawik"/>
          <w:sz w:val="23"/>
          <w:szCs w:val="23"/>
        </w:rPr>
        <w:t>se prononce, par</w:t>
      </w:r>
      <w:r w:rsidR="00EB5005">
        <w:rPr>
          <w:rFonts w:ascii="Selawik" w:hAnsi="Selawik"/>
          <w:sz w:val="23"/>
          <w:szCs w:val="23"/>
        </w:rPr>
        <w:t xml:space="preserve"> </w:t>
      </w:r>
      <w:r w:rsidR="00286326" w:rsidRPr="00286326">
        <w:rPr>
          <w:rFonts w:ascii="Selawik" w:hAnsi="Selawik"/>
          <w:sz w:val="23"/>
          <w:szCs w:val="23"/>
        </w:rPr>
        <w:t>déclaration de projet, sur l’intérêt général de l’opération projetée.</w:t>
      </w:r>
    </w:p>
    <w:p w14:paraId="3FCEF7B1" w14:textId="1E0030C3" w:rsidR="00F71C72" w:rsidRDefault="00774711" w:rsidP="00C846FC">
      <w:pPr>
        <w:spacing w:line="278" w:lineRule="auto"/>
        <w:rPr>
          <w:rFonts w:ascii="Selawik" w:hAnsi="Selawik"/>
          <w:sz w:val="23"/>
          <w:szCs w:val="23"/>
        </w:rPr>
      </w:pPr>
      <w:r>
        <w:rPr>
          <w:rFonts w:ascii="Selawik" w:hAnsi="Selawik"/>
          <w:sz w:val="23"/>
          <w:szCs w:val="23"/>
        </w:rPr>
        <w:t>*</w:t>
      </w:r>
      <w:r w:rsidR="00F71C72" w:rsidRPr="00F71C72">
        <w:rPr>
          <w:rFonts w:ascii="Selawik" w:hAnsi="Selawik"/>
          <w:sz w:val="23"/>
          <w:szCs w:val="23"/>
        </w:rPr>
        <w:t xml:space="preserve">Au sens de l’article L300-1 du code de l’urbanisme, </w:t>
      </w:r>
      <w:r w:rsidR="00F71C72" w:rsidRPr="00774711">
        <w:rPr>
          <w:rFonts w:ascii="Selawik" w:hAnsi="Selawik"/>
          <w:b/>
          <w:bCs/>
          <w:i/>
          <w:iCs/>
          <w:color w:val="002060"/>
          <w:sz w:val="23"/>
          <w:szCs w:val="23"/>
        </w:rPr>
        <w:t>les actions ou opérations d'aménagement</w:t>
      </w:r>
      <w:r w:rsidR="00F71C72" w:rsidRPr="00774711">
        <w:rPr>
          <w:rFonts w:ascii="Selawik" w:hAnsi="Selawik"/>
          <w:color w:val="002060"/>
          <w:sz w:val="23"/>
          <w:szCs w:val="23"/>
        </w:rPr>
        <w:t xml:space="preserve"> </w:t>
      </w:r>
      <w:r w:rsidR="00F71C72" w:rsidRPr="00F71C72">
        <w:rPr>
          <w:rFonts w:ascii="Selawik" w:hAnsi="Selawik"/>
          <w:sz w:val="23"/>
          <w:szCs w:val="23"/>
        </w:rPr>
        <w:t>ont pour objets de mettre en œuvre un</w:t>
      </w:r>
      <w:r w:rsidR="00F71C72">
        <w:rPr>
          <w:rFonts w:ascii="Selawik" w:hAnsi="Selawik"/>
          <w:sz w:val="23"/>
          <w:szCs w:val="23"/>
        </w:rPr>
        <w:t xml:space="preserve"> </w:t>
      </w:r>
      <w:r w:rsidR="00F71C72" w:rsidRPr="00F71C72">
        <w:rPr>
          <w:rFonts w:ascii="Selawik" w:hAnsi="Selawik"/>
          <w:sz w:val="23"/>
          <w:szCs w:val="23"/>
        </w:rPr>
        <w:t xml:space="preserve">projet urbain, une politique locale de l'habitat, d'organiser le maintien, </w:t>
      </w:r>
      <w:r w:rsidR="00F71C72" w:rsidRPr="00774711">
        <w:rPr>
          <w:rFonts w:ascii="Selawik" w:hAnsi="Selawik"/>
          <w:b/>
          <w:bCs/>
          <w:sz w:val="23"/>
          <w:szCs w:val="23"/>
        </w:rPr>
        <w:t>l'extension ou l'accueil</w:t>
      </w:r>
      <w:r w:rsidR="00F71C72" w:rsidRPr="001A2238">
        <w:rPr>
          <w:rFonts w:ascii="Selawik" w:hAnsi="Selawik"/>
          <w:b/>
          <w:sz w:val="23"/>
          <w:szCs w:val="23"/>
        </w:rPr>
        <w:t xml:space="preserve"> des activités économiques</w:t>
      </w:r>
      <w:r w:rsidR="00F71C72" w:rsidRPr="00F71C72">
        <w:rPr>
          <w:rFonts w:ascii="Selawik" w:hAnsi="Selawik"/>
          <w:sz w:val="23"/>
          <w:szCs w:val="23"/>
        </w:rPr>
        <w:t>, de favoriser le</w:t>
      </w:r>
      <w:r w:rsidR="00F71C72">
        <w:rPr>
          <w:rFonts w:ascii="Selawik" w:hAnsi="Selawik"/>
          <w:sz w:val="23"/>
          <w:szCs w:val="23"/>
        </w:rPr>
        <w:t xml:space="preserve"> </w:t>
      </w:r>
      <w:r w:rsidR="00F71C72" w:rsidRPr="00F71C72">
        <w:rPr>
          <w:rFonts w:ascii="Selawik" w:hAnsi="Selawik"/>
          <w:sz w:val="23"/>
          <w:szCs w:val="23"/>
        </w:rPr>
        <w:t>développement des loisirs et du tourisme, de réaliser des équipements collectifs ou des locaux de recherche ou d'enseignement</w:t>
      </w:r>
      <w:r w:rsidR="00F71C72">
        <w:rPr>
          <w:rFonts w:ascii="Selawik" w:hAnsi="Selawik"/>
          <w:sz w:val="23"/>
          <w:szCs w:val="23"/>
        </w:rPr>
        <w:t xml:space="preserve"> </w:t>
      </w:r>
      <w:r w:rsidR="00F71C72" w:rsidRPr="00F71C72">
        <w:rPr>
          <w:rFonts w:ascii="Selawik" w:hAnsi="Selawik"/>
          <w:sz w:val="23"/>
          <w:szCs w:val="23"/>
        </w:rPr>
        <w:t xml:space="preserve">supérieur, de lutter contre l'insalubrité, de permettre le </w:t>
      </w:r>
      <w:r w:rsidR="00F71C72" w:rsidRPr="00F71C72">
        <w:rPr>
          <w:rFonts w:ascii="Selawik" w:hAnsi="Selawik"/>
          <w:sz w:val="23"/>
          <w:szCs w:val="23"/>
        </w:rPr>
        <w:lastRenderedPageBreak/>
        <w:t>renouvellement urbain, de sauvegarder ou de mettre en valeur le patrimoine bâti</w:t>
      </w:r>
      <w:r w:rsidR="00F71C72">
        <w:rPr>
          <w:rFonts w:ascii="Selawik" w:hAnsi="Selawik"/>
          <w:sz w:val="23"/>
          <w:szCs w:val="23"/>
        </w:rPr>
        <w:t xml:space="preserve"> </w:t>
      </w:r>
      <w:r w:rsidR="00F71C72" w:rsidRPr="00F71C72">
        <w:rPr>
          <w:rFonts w:ascii="Selawik" w:hAnsi="Selawik"/>
          <w:sz w:val="23"/>
          <w:szCs w:val="23"/>
        </w:rPr>
        <w:t>ou non bâti et les espaces naturels.</w:t>
      </w:r>
      <w:r w:rsidR="00F71C72">
        <w:rPr>
          <w:rFonts w:ascii="Selawik" w:hAnsi="Selawik"/>
          <w:sz w:val="23"/>
          <w:szCs w:val="23"/>
        </w:rPr>
        <w:t xml:space="preserve"> </w:t>
      </w:r>
    </w:p>
    <w:p w14:paraId="5548276A" w14:textId="09B8DB37" w:rsidR="0013149D" w:rsidRDefault="0013149D" w:rsidP="00C846FC">
      <w:pPr>
        <w:spacing w:line="278" w:lineRule="auto"/>
        <w:rPr>
          <w:rFonts w:ascii="Selawik" w:hAnsi="Selawik"/>
          <w:b/>
          <w:sz w:val="23"/>
          <w:szCs w:val="23"/>
        </w:rPr>
      </w:pPr>
      <w:r>
        <w:rPr>
          <w:rFonts w:ascii="Selawik" w:hAnsi="Selawik"/>
          <w:b/>
          <w:sz w:val="23"/>
          <w:szCs w:val="23"/>
        </w:rPr>
        <w:t>Des projets d’intérêt général</w:t>
      </w:r>
    </w:p>
    <w:p w14:paraId="0EE67059" w14:textId="4BA6E6B7" w:rsidR="0013149D" w:rsidRDefault="00C7190E" w:rsidP="00C846FC">
      <w:pPr>
        <w:spacing w:line="278" w:lineRule="auto"/>
        <w:rPr>
          <w:rFonts w:ascii="Selawik" w:hAnsi="Selawik"/>
          <w:sz w:val="23"/>
          <w:szCs w:val="23"/>
        </w:rPr>
      </w:pPr>
      <w:r w:rsidRPr="00C7190E">
        <w:rPr>
          <w:rFonts w:ascii="Selawik" w:hAnsi="Selawik"/>
          <w:sz w:val="23"/>
          <w:szCs w:val="23"/>
        </w:rPr>
        <w:t>L'ordonnance du 5 janvier 2012 portant clarification et simplification des procédures d'élaboration, de</w:t>
      </w:r>
      <w:r>
        <w:rPr>
          <w:rFonts w:ascii="Selawik" w:hAnsi="Selawik"/>
          <w:sz w:val="23"/>
          <w:szCs w:val="23"/>
        </w:rPr>
        <w:t xml:space="preserve"> </w:t>
      </w:r>
      <w:r w:rsidRPr="00C7190E">
        <w:rPr>
          <w:rFonts w:ascii="Selawik" w:hAnsi="Selawik"/>
          <w:sz w:val="23"/>
          <w:szCs w:val="23"/>
        </w:rPr>
        <w:t>modification et de révision des documents d'urbanisme a fait de la déclaration de projet la procédure</w:t>
      </w:r>
      <w:r>
        <w:rPr>
          <w:rFonts w:ascii="Selawik" w:hAnsi="Selawik"/>
          <w:sz w:val="23"/>
          <w:szCs w:val="23"/>
        </w:rPr>
        <w:t xml:space="preserve"> </w:t>
      </w:r>
      <w:r w:rsidRPr="00C7190E">
        <w:rPr>
          <w:rFonts w:ascii="Selawik" w:hAnsi="Selawik"/>
          <w:sz w:val="23"/>
          <w:szCs w:val="23"/>
        </w:rPr>
        <w:t>unique permettant à des projets ne nécessitant pas d'expropriation de bénéficier de la reconnaissance</w:t>
      </w:r>
      <w:r>
        <w:rPr>
          <w:rFonts w:ascii="Selawik" w:hAnsi="Selawik"/>
          <w:sz w:val="23"/>
          <w:szCs w:val="23"/>
        </w:rPr>
        <w:t xml:space="preserve"> </w:t>
      </w:r>
      <w:r w:rsidRPr="00C7190E">
        <w:rPr>
          <w:rFonts w:ascii="Selawik" w:hAnsi="Selawik"/>
          <w:sz w:val="23"/>
          <w:szCs w:val="23"/>
        </w:rPr>
        <w:t>de leur caractère d'intérêt général pour obtenir une évolution sur mesure des règles d'urbanisme</w:t>
      </w:r>
      <w:r>
        <w:rPr>
          <w:rFonts w:ascii="Selawik" w:hAnsi="Selawik"/>
          <w:sz w:val="23"/>
          <w:szCs w:val="23"/>
        </w:rPr>
        <w:t xml:space="preserve"> </w:t>
      </w:r>
      <w:r w:rsidRPr="00C7190E">
        <w:rPr>
          <w:rFonts w:ascii="Selawik" w:hAnsi="Selawik"/>
          <w:sz w:val="23"/>
          <w:szCs w:val="23"/>
        </w:rPr>
        <w:t>applicables.</w:t>
      </w:r>
      <w:r>
        <w:rPr>
          <w:rFonts w:ascii="Selawik" w:hAnsi="Selawik"/>
          <w:sz w:val="23"/>
          <w:szCs w:val="23"/>
        </w:rPr>
        <w:t xml:space="preserve"> </w:t>
      </w:r>
    </w:p>
    <w:p w14:paraId="5CEDC58F" w14:textId="69B87E46" w:rsidR="00C7190E" w:rsidRPr="00C7190E" w:rsidRDefault="00C7190E" w:rsidP="00C846FC">
      <w:pPr>
        <w:spacing w:line="278" w:lineRule="auto"/>
        <w:rPr>
          <w:rFonts w:ascii="Selawik" w:hAnsi="Selawik"/>
          <w:b/>
          <w:bCs/>
          <w:i/>
          <w:iCs/>
          <w:color w:val="002060"/>
          <w:sz w:val="23"/>
          <w:szCs w:val="23"/>
        </w:rPr>
      </w:pPr>
      <w:r w:rsidRPr="00C7190E">
        <w:rPr>
          <w:rFonts w:ascii="Selawik" w:hAnsi="Selawik"/>
          <w:b/>
          <w:bCs/>
          <w:i/>
          <w:iCs/>
          <w:color w:val="002060"/>
          <w:sz w:val="23"/>
          <w:szCs w:val="23"/>
        </w:rPr>
        <w:t xml:space="preserve">La notion d’intérêt général constitue une condition sine qua non de mise en </w:t>
      </w:r>
      <w:r w:rsidR="00A8178E" w:rsidRPr="00C7190E">
        <w:rPr>
          <w:rFonts w:ascii="Selawik" w:hAnsi="Selawik"/>
          <w:b/>
          <w:bCs/>
          <w:i/>
          <w:iCs/>
          <w:color w:val="002060"/>
          <w:sz w:val="23"/>
          <w:szCs w:val="23"/>
        </w:rPr>
        <w:t>œuvre</w:t>
      </w:r>
      <w:r w:rsidRPr="00C7190E">
        <w:rPr>
          <w:rFonts w:ascii="Selawik" w:hAnsi="Selawik"/>
          <w:b/>
          <w:bCs/>
          <w:i/>
          <w:iCs/>
          <w:color w:val="002060"/>
          <w:sz w:val="23"/>
          <w:szCs w:val="23"/>
        </w:rPr>
        <w:t xml:space="preserve"> de la mise en compatibilité du PLU par une déclaration de projet.</w:t>
      </w:r>
    </w:p>
    <w:p w14:paraId="6321AAAA" w14:textId="7048B906" w:rsidR="00C7190E" w:rsidRPr="00C7190E" w:rsidRDefault="00C7190E" w:rsidP="00C846FC">
      <w:pPr>
        <w:spacing w:line="278" w:lineRule="auto"/>
        <w:rPr>
          <w:rFonts w:ascii="Selawik" w:hAnsi="Selawik"/>
          <w:sz w:val="23"/>
          <w:szCs w:val="23"/>
        </w:rPr>
      </w:pPr>
      <w:r w:rsidRPr="00C7190E">
        <w:rPr>
          <w:rFonts w:ascii="Selawik" w:hAnsi="Selawik"/>
          <w:sz w:val="23"/>
          <w:szCs w:val="23"/>
        </w:rPr>
        <w:t>L’arrêt du Conseil d'État du 23 octobre 2013, Commune de Crolles, rendu à propos de la révision</w:t>
      </w:r>
      <w:r>
        <w:rPr>
          <w:rFonts w:ascii="Selawik" w:hAnsi="Selawik"/>
          <w:sz w:val="23"/>
          <w:szCs w:val="23"/>
        </w:rPr>
        <w:t xml:space="preserve"> </w:t>
      </w:r>
      <w:r w:rsidRPr="00C7190E">
        <w:rPr>
          <w:rFonts w:ascii="Selawik" w:hAnsi="Selawik"/>
          <w:sz w:val="23"/>
          <w:szCs w:val="23"/>
        </w:rPr>
        <w:t>simplifiée d’un POS, est éclairant quant à la manière dont doit être apprécié l’intérêt général dans le</w:t>
      </w:r>
      <w:r>
        <w:rPr>
          <w:rFonts w:ascii="Selawik" w:hAnsi="Selawik"/>
          <w:sz w:val="23"/>
          <w:szCs w:val="23"/>
        </w:rPr>
        <w:t xml:space="preserve"> </w:t>
      </w:r>
      <w:r w:rsidRPr="00C7190E">
        <w:rPr>
          <w:rFonts w:ascii="Selawik" w:hAnsi="Selawik"/>
          <w:sz w:val="23"/>
          <w:szCs w:val="23"/>
        </w:rPr>
        <w:t>cadre de ces procédures d’évolution du PLU (n° 350077).</w:t>
      </w:r>
    </w:p>
    <w:p w14:paraId="5BCF50C9" w14:textId="24D18133" w:rsidR="00C7190E" w:rsidRDefault="00C7190E" w:rsidP="006F68CE">
      <w:pPr>
        <w:spacing w:line="278" w:lineRule="auto"/>
        <w:rPr>
          <w:rFonts w:ascii="Selawik" w:hAnsi="Selawik"/>
          <w:sz w:val="23"/>
          <w:szCs w:val="23"/>
        </w:rPr>
      </w:pPr>
      <w:r w:rsidRPr="00C7190E">
        <w:rPr>
          <w:rFonts w:ascii="Selawik" w:hAnsi="Selawik"/>
          <w:sz w:val="23"/>
          <w:szCs w:val="23"/>
        </w:rPr>
        <w:t>Il ressort de cette décision que, « eu égard à l'objet et à la portée d'une révision simplifiée du plan local</w:t>
      </w:r>
      <w:r>
        <w:rPr>
          <w:rFonts w:ascii="Selawik" w:hAnsi="Selawik"/>
          <w:sz w:val="23"/>
          <w:szCs w:val="23"/>
        </w:rPr>
        <w:t xml:space="preserve"> </w:t>
      </w:r>
      <w:r w:rsidRPr="00C7190E">
        <w:rPr>
          <w:rFonts w:ascii="Selawik" w:hAnsi="Selawik"/>
          <w:sz w:val="23"/>
          <w:szCs w:val="23"/>
        </w:rPr>
        <w:t>d'urbanisme, qui permet notamment d'alléger les contraintes procédurales s'imposant à la modification</w:t>
      </w:r>
      <w:r>
        <w:rPr>
          <w:rFonts w:ascii="Selawik" w:hAnsi="Selawik"/>
          <w:sz w:val="23"/>
          <w:szCs w:val="23"/>
        </w:rPr>
        <w:t xml:space="preserve"> </w:t>
      </w:r>
      <w:r w:rsidRPr="00C7190E">
        <w:rPr>
          <w:rFonts w:ascii="Selawik" w:hAnsi="Selawik"/>
          <w:sz w:val="23"/>
          <w:szCs w:val="23"/>
        </w:rPr>
        <w:t>de ce document, il appartient à l'autorité compétente d'établir, de manière précise et circonstanciée,</w:t>
      </w:r>
      <w:r>
        <w:rPr>
          <w:rFonts w:ascii="Selawik" w:hAnsi="Selawik"/>
          <w:sz w:val="23"/>
          <w:szCs w:val="23"/>
        </w:rPr>
        <w:t xml:space="preserve"> </w:t>
      </w:r>
      <w:r w:rsidRPr="00C7190E">
        <w:rPr>
          <w:rFonts w:ascii="Selawik" w:hAnsi="Selawik"/>
          <w:sz w:val="23"/>
          <w:szCs w:val="23"/>
        </w:rPr>
        <w:t>sous l'entier contrôle du juge, l'intérêt général qui s'attache à la réalisation de la construction ou de</w:t>
      </w:r>
      <w:r>
        <w:rPr>
          <w:rFonts w:ascii="Selawik" w:hAnsi="Selawik"/>
          <w:sz w:val="23"/>
          <w:szCs w:val="23"/>
        </w:rPr>
        <w:t xml:space="preserve"> </w:t>
      </w:r>
      <w:r w:rsidRPr="00C7190E">
        <w:rPr>
          <w:rFonts w:ascii="Selawik" w:hAnsi="Selawik"/>
          <w:sz w:val="23"/>
          <w:szCs w:val="23"/>
        </w:rPr>
        <w:t>l'opération constituant l'objet de la révision simplifiée, au regard notamment des objectifs économiques,</w:t>
      </w:r>
      <w:r>
        <w:rPr>
          <w:rFonts w:ascii="Selawik" w:hAnsi="Selawik"/>
          <w:sz w:val="23"/>
          <w:szCs w:val="23"/>
        </w:rPr>
        <w:t xml:space="preserve"> </w:t>
      </w:r>
      <w:r w:rsidRPr="00C7190E">
        <w:rPr>
          <w:rFonts w:ascii="Selawik" w:hAnsi="Selawik"/>
          <w:sz w:val="23"/>
          <w:szCs w:val="23"/>
        </w:rPr>
        <w:t>sociaux et urbanistiques poursuivis par la collectivité publique intéressée ».</w:t>
      </w:r>
    </w:p>
    <w:p w14:paraId="32E2E0AA" w14:textId="190BA22D" w:rsidR="00C7190E" w:rsidRPr="00C7190E" w:rsidRDefault="00C7190E" w:rsidP="00C846FC">
      <w:pPr>
        <w:spacing w:line="278" w:lineRule="auto"/>
        <w:rPr>
          <w:rFonts w:ascii="Selawik" w:hAnsi="Selawik"/>
          <w:sz w:val="23"/>
          <w:szCs w:val="23"/>
        </w:rPr>
      </w:pPr>
      <w:r w:rsidRPr="00C7190E">
        <w:rPr>
          <w:rFonts w:ascii="Selawik" w:hAnsi="Selawik"/>
          <w:sz w:val="23"/>
          <w:szCs w:val="23"/>
        </w:rPr>
        <w:t>Le juge du fond exerce donc un contrôle entier sur l’intérêt général s’attachant à la réalisation</w:t>
      </w:r>
      <w:r w:rsidRPr="007571AA">
        <w:rPr>
          <w:rFonts w:ascii="Selawik" w:hAnsi="Selawik"/>
          <w:sz w:val="23"/>
          <w:szCs w:val="23"/>
        </w:rPr>
        <w:t xml:space="preserve"> </w:t>
      </w:r>
      <w:r w:rsidRPr="00C7190E">
        <w:rPr>
          <w:rFonts w:ascii="Selawik" w:hAnsi="Selawik"/>
          <w:sz w:val="23"/>
          <w:szCs w:val="23"/>
        </w:rPr>
        <w:t xml:space="preserve">d’un projet. </w:t>
      </w:r>
      <w:r w:rsidRPr="00C7190E">
        <w:rPr>
          <w:rFonts w:ascii="Selawik" w:hAnsi="Selawik"/>
          <w:b/>
          <w:bCs/>
          <w:sz w:val="23"/>
          <w:szCs w:val="23"/>
        </w:rPr>
        <w:t>La portée de ce contrôle se justifie par l’objet même de ce type de mise en</w:t>
      </w:r>
      <w:r w:rsidRPr="007571AA">
        <w:rPr>
          <w:rFonts w:ascii="Selawik" w:hAnsi="Selawik"/>
          <w:b/>
          <w:bCs/>
          <w:sz w:val="23"/>
          <w:szCs w:val="23"/>
        </w:rPr>
        <w:t xml:space="preserve"> </w:t>
      </w:r>
      <w:r w:rsidRPr="00C7190E">
        <w:rPr>
          <w:rFonts w:ascii="Selawik" w:hAnsi="Selawik"/>
          <w:b/>
          <w:bCs/>
          <w:sz w:val="23"/>
          <w:szCs w:val="23"/>
        </w:rPr>
        <w:t>compatibilité qui se caractérise par d’importants allégements procéduraux</w:t>
      </w:r>
      <w:r w:rsidRPr="00C7190E">
        <w:rPr>
          <w:rFonts w:ascii="Selawik" w:hAnsi="Selawik"/>
          <w:sz w:val="23"/>
          <w:szCs w:val="23"/>
        </w:rPr>
        <w:t xml:space="preserve"> (un simple examen</w:t>
      </w:r>
      <w:r>
        <w:rPr>
          <w:rFonts w:ascii="Selawik" w:hAnsi="Selawik"/>
          <w:sz w:val="23"/>
          <w:szCs w:val="23"/>
        </w:rPr>
        <w:t xml:space="preserve"> </w:t>
      </w:r>
      <w:r w:rsidRPr="00C7190E">
        <w:rPr>
          <w:rFonts w:ascii="Selawik" w:hAnsi="Selawik"/>
          <w:sz w:val="23"/>
          <w:szCs w:val="23"/>
        </w:rPr>
        <w:t>conjoint des personnes publiques associées), en comparaison avec la procédure de révision du</w:t>
      </w:r>
      <w:r>
        <w:rPr>
          <w:rFonts w:ascii="Selawik" w:hAnsi="Selawik"/>
          <w:sz w:val="23"/>
          <w:szCs w:val="23"/>
        </w:rPr>
        <w:t xml:space="preserve"> </w:t>
      </w:r>
      <w:r w:rsidRPr="00C7190E">
        <w:rPr>
          <w:rFonts w:ascii="Selawik" w:hAnsi="Selawik"/>
          <w:sz w:val="23"/>
          <w:szCs w:val="23"/>
        </w:rPr>
        <w:t>PLU.</w:t>
      </w:r>
    </w:p>
    <w:p w14:paraId="41742E8B" w14:textId="00178E04" w:rsidR="00C7190E" w:rsidRPr="00C7190E" w:rsidRDefault="00C7190E" w:rsidP="00C846FC">
      <w:pPr>
        <w:spacing w:line="278" w:lineRule="auto"/>
        <w:rPr>
          <w:rFonts w:ascii="Selawik" w:hAnsi="Selawik"/>
          <w:sz w:val="23"/>
          <w:szCs w:val="23"/>
        </w:rPr>
      </w:pPr>
      <w:r w:rsidRPr="00C7190E">
        <w:rPr>
          <w:rFonts w:ascii="Selawik" w:hAnsi="Selawik"/>
          <w:sz w:val="23"/>
          <w:szCs w:val="23"/>
        </w:rPr>
        <w:t>Le recours à ces procédures, en particulier à la mise en compatibilité par le biais de la déclaration de</w:t>
      </w:r>
      <w:r w:rsidR="007571AA">
        <w:rPr>
          <w:rFonts w:ascii="Selawik" w:hAnsi="Selawik"/>
          <w:sz w:val="23"/>
          <w:szCs w:val="23"/>
        </w:rPr>
        <w:t xml:space="preserve"> </w:t>
      </w:r>
      <w:r w:rsidRPr="00C7190E">
        <w:rPr>
          <w:rFonts w:ascii="Selawik" w:hAnsi="Selawik"/>
          <w:sz w:val="23"/>
          <w:szCs w:val="23"/>
        </w:rPr>
        <w:t xml:space="preserve">projet, </w:t>
      </w:r>
      <w:r w:rsidRPr="00C7190E">
        <w:rPr>
          <w:rFonts w:ascii="Selawik" w:hAnsi="Selawik"/>
          <w:b/>
          <w:bCs/>
          <w:sz w:val="23"/>
          <w:szCs w:val="23"/>
        </w:rPr>
        <w:t>impose à l'administration de ne pas s’en tenir à considérer le seul objet poursuivi par le projet</w:t>
      </w:r>
      <w:r w:rsidRPr="00C7190E">
        <w:rPr>
          <w:rFonts w:ascii="Selawik" w:hAnsi="Selawik"/>
          <w:sz w:val="23"/>
          <w:szCs w:val="23"/>
        </w:rPr>
        <w:t xml:space="preserve"> </w:t>
      </w:r>
      <w:r w:rsidRPr="00C7190E">
        <w:rPr>
          <w:rFonts w:ascii="Selawik" w:hAnsi="Selawik"/>
          <w:b/>
          <w:bCs/>
          <w:i/>
          <w:iCs/>
          <w:color w:val="002060"/>
          <w:sz w:val="23"/>
          <w:szCs w:val="23"/>
        </w:rPr>
        <w:t>:</w:t>
      </w:r>
      <w:r w:rsidR="007571AA" w:rsidRPr="007571AA">
        <w:rPr>
          <w:rFonts w:ascii="Selawik" w:hAnsi="Selawik"/>
          <w:b/>
          <w:bCs/>
          <w:i/>
          <w:iCs/>
          <w:color w:val="002060"/>
          <w:sz w:val="23"/>
          <w:szCs w:val="23"/>
        </w:rPr>
        <w:t xml:space="preserve"> </w:t>
      </w:r>
      <w:r w:rsidRPr="00C7190E">
        <w:rPr>
          <w:rFonts w:ascii="Selawik" w:hAnsi="Selawik"/>
          <w:b/>
          <w:bCs/>
          <w:i/>
          <w:iCs/>
          <w:color w:val="002060"/>
          <w:sz w:val="23"/>
          <w:szCs w:val="23"/>
        </w:rPr>
        <w:t>elle doit le confronter à l’ensemble des paramètres qui font la cohérence du parti d’aménagement de la</w:t>
      </w:r>
      <w:r w:rsidR="007571AA" w:rsidRPr="007571AA">
        <w:rPr>
          <w:rFonts w:ascii="Selawik" w:hAnsi="Selawik"/>
          <w:b/>
          <w:bCs/>
          <w:i/>
          <w:iCs/>
          <w:color w:val="002060"/>
          <w:sz w:val="23"/>
          <w:szCs w:val="23"/>
        </w:rPr>
        <w:t xml:space="preserve"> </w:t>
      </w:r>
      <w:r w:rsidRPr="00C7190E">
        <w:rPr>
          <w:rFonts w:ascii="Selawik" w:hAnsi="Selawik"/>
          <w:b/>
          <w:bCs/>
          <w:i/>
          <w:iCs/>
          <w:color w:val="002060"/>
          <w:sz w:val="23"/>
          <w:szCs w:val="23"/>
        </w:rPr>
        <w:t>commune ou de l’EPCI compétent</w:t>
      </w:r>
      <w:r w:rsidRPr="00C7190E">
        <w:rPr>
          <w:rFonts w:ascii="Selawik" w:hAnsi="Selawik"/>
          <w:sz w:val="23"/>
          <w:szCs w:val="23"/>
        </w:rPr>
        <w:t xml:space="preserve"> et ce n’est que lorsqu’il participe de cette cohérence qu’il peut être</w:t>
      </w:r>
      <w:r w:rsidR="007571AA">
        <w:rPr>
          <w:rFonts w:ascii="Selawik" w:hAnsi="Selawik"/>
          <w:sz w:val="23"/>
          <w:szCs w:val="23"/>
        </w:rPr>
        <w:t xml:space="preserve"> </w:t>
      </w:r>
      <w:r w:rsidRPr="00C7190E">
        <w:rPr>
          <w:rFonts w:ascii="Selawik" w:hAnsi="Selawik"/>
          <w:sz w:val="23"/>
          <w:szCs w:val="23"/>
        </w:rPr>
        <w:t>considéré comme présentant un intérêt général.</w:t>
      </w:r>
    </w:p>
    <w:p w14:paraId="2173A9B8" w14:textId="60C5EA16" w:rsidR="00C7190E" w:rsidRPr="007571AA" w:rsidRDefault="007571AA" w:rsidP="00C846FC">
      <w:pPr>
        <w:spacing w:line="278" w:lineRule="auto"/>
        <w:rPr>
          <w:rFonts w:ascii="Selawik" w:hAnsi="Selawik"/>
          <w:b/>
          <w:sz w:val="23"/>
          <w:szCs w:val="23"/>
        </w:rPr>
      </w:pPr>
      <w:r w:rsidRPr="007571AA">
        <w:rPr>
          <w:rFonts w:ascii="Selawik" w:hAnsi="Selawik"/>
          <w:b/>
          <w:sz w:val="23"/>
          <w:szCs w:val="23"/>
        </w:rPr>
        <w:t>Des projets publics comme privés</w:t>
      </w:r>
    </w:p>
    <w:p w14:paraId="710EA7DE" w14:textId="0DFE504C" w:rsidR="007571AA" w:rsidRPr="007571AA" w:rsidRDefault="007571AA" w:rsidP="00C846FC">
      <w:pPr>
        <w:spacing w:line="278" w:lineRule="auto"/>
        <w:rPr>
          <w:rFonts w:ascii="Selawik" w:hAnsi="Selawik"/>
          <w:sz w:val="23"/>
          <w:szCs w:val="23"/>
        </w:rPr>
      </w:pPr>
      <w:r w:rsidRPr="007571AA">
        <w:rPr>
          <w:rFonts w:ascii="Selawik" w:hAnsi="Selawik"/>
          <w:sz w:val="23"/>
          <w:szCs w:val="23"/>
        </w:rPr>
        <w:t>La déclaration de projet prise sur le fondement de l'article L. 300-6 du code de l'urbanisme s'applique</w:t>
      </w:r>
      <w:r>
        <w:rPr>
          <w:rFonts w:ascii="Selawik" w:hAnsi="Selawik"/>
          <w:sz w:val="23"/>
          <w:szCs w:val="23"/>
        </w:rPr>
        <w:t xml:space="preserve"> </w:t>
      </w:r>
      <w:r w:rsidRPr="007571AA">
        <w:rPr>
          <w:rFonts w:ascii="Selawik" w:hAnsi="Selawik"/>
          <w:sz w:val="23"/>
          <w:szCs w:val="23"/>
        </w:rPr>
        <w:t xml:space="preserve">indifféremment aux projets publics ou privés. Sont en effet visés par le code toute </w:t>
      </w:r>
      <w:r w:rsidRPr="007571AA">
        <w:rPr>
          <w:rFonts w:ascii="Selawik" w:hAnsi="Selawik"/>
          <w:b/>
          <w:bCs/>
          <w:color w:val="002060"/>
          <w:sz w:val="23"/>
          <w:szCs w:val="23"/>
        </w:rPr>
        <w:t>action ou</w:t>
      </w:r>
      <w:r w:rsidRPr="00B313B1">
        <w:rPr>
          <w:rFonts w:ascii="Selawik" w:hAnsi="Selawik"/>
          <w:b/>
          <w:bCs/>
          <w:color w:val="002060"/>
          <w:sz w:val="23"/>
          <w:szCs w:val="23"/>
        </w:rPr>
        <w:t xml:space="preserve"> </w:t>
      </w:r>
      <w:r w:rsidRPr="007571AA">
        <w:rPr>
          <w:rFonts w:ascii="Selawik" w:hAnsi="Selawik"/>
          <w:b/>
          <w:bCs/>
          <w:color w:val="002060"/>
          <w:sz w:val="23"/>
          <w:szCs w:val="23"/>
        </w:rPr>
        <w:t>opération d'aménagement</w:t>
      </w:r>
      <w:r w:rsidRPr="007571AA">
        <w:rPr>
          <w:rFonts w:ascii="Selawik" w:hAnsi="Selawik"/>
          <w:color w:val="002060"/>
          <w:sz w:val="23"/>
          <w:szCs w:val="23"/>
        </w:rPr>
        <w:t xml:space="preserve"> </w:t>
      </w:r>
      <w:r w:rsidRPr="007571AA">
        <w:rPr>
          <w:rFonts w:ascii="Selawik" w:hAnsi="Selawik"/>
          <w:sz w:val="23"/>
          <w:szCs w:val="23"/>
        </w:rPr>
        <w:t>ainsi que les programmes de construction, qu'ils soient publics ou</w:t>
      </w:r>
      <w:r>
        <w:rPr>
          <w:rFonts w:ascii="Selawik" w:hAnsi="Selawik"/>
          <w:sz w:val="23"/>
          <w:szCs w:val="23"/>
        </w:rPr>
        <w:t xml:space="preserve"> </w:t>
      </w:r>
      <w:r w:rsidRPr="007571AA">
        <w:rPr>
          <w:rFonts w:ascii="Selawik" w:hAnsi="Selawik"/>
          <w:sz w:val="23"/>
          <w:szCs w:val="23"/>
        </w:rPr>
        <w:t>privés.</w:t>
      </w:r>
      <w:r>
        <w:rPr>
          <w:rFonts w:ascii="Selawik" w:hAnsi="Selawik"/>
          <w:sz w:val="23"/>
          <w:szCs w:val="23"/>
        </w:rPr>
        <w:t xml:space="preserve"> </w:t>
      </w:r>
      <w:r w:rsidRPr="007571AA">
        <w:rPr>
          <w:rFonts w:ascii="Selawik" w:hAnsi="Selawik"/>
          <w:sz w:val="23"/>
          <w:szCs w:val="23"/>
        </w:rPr>
        <w:t>La notion d'action ou d'opération d'aménagement doit être entendue au sens de l'article L. 300-1 du</w:t>
      </w:r>
      <w:r>
        <w:rPr>
          <w:rFonts w:ascii="Selawik" w:hAnsi="Selawik"/>
          <w:sz w:val="23"/>
          <w:szCs w:val="23"/>
        </w:rPr>
        <w:t xml:space="preserve"> </w:t>
      </w:r>
      <w:r w:rsidRPr="007571AA">
        <w:rPr>
          <w:rFonts w:ascii="Selawik" w:hAnsi="Selawik"/>
          <w:sz w:val="23"/>
          <w:szCs w:val="23"/>
        </w:rPr>
        <w:t>code de l'urbanisme selon lequel :</w:t>
      </w:r>
    </w:p>
    <w:p w14:paraId="02E5F747" w14:textId="6DC804BB" w:rsidR="007571AA" w:rsidRPr="007571AA" w:rsidRDefault="007571AA" w:rsidP="00C846FC">
      <w:pPr>
        <w:spacing w:line="278" w:lineRule="auto"/>
        <w:rPr>
          <w:rFonts w:ascii="Selawik" w:hAnsi="Selawik"/>
          <w:sz w:val="23"/>
          <w:szCs w:val="23"/>
        </w:rPr>
      </w:pPr>
      <w:r>
        <w:rPr>
          <w:rFonts w:ascii="Selawik" w:hAnsi="Selawik"/>
          <w:sz w:val="23"/>
          <w:szCs w:val="23"/>
        </w:rPr>
        <w:lastRenderedPageBreak/>
        <w:t>«</w:t>
      </w:r>
      <w:r>
        <w:rPr>
          <w:rFonts w:ascii="Calibri" w:hAnsi="Calibri" w:cs="Calibri"/>
          <w:sz w:val="23"/>
          <w:szCs w:val="23"/>
        </w:rPr>
        <w:t> </w:t>
      </w:r>
      <w:r w:rsidRPr="007571AA">
        <w:rPr>
          <w:rFonts w:ascii="Selawik" w:hAnsi="Selawik"/>
          <w:sz w:val="23"/>
          <w:szCs w:val="23"/>
        </w:rPr>
        <w:t xml:space="preserve">Les actions ou opérations d'aménagement ont pour objets de mettre en </w:t>
      </w:r>
      <w:r w:rsidR="00A8178E" w:rsidRPr="007571AA">
        <w:rPr>
          <w:rFonts w:ascii="Selawik" w:hAnsi="Selawik"/>
          <w:sz w:val="23"/>
          <w:szCs w:val="23"/>
        </w:rPr>
        <w:t>œuvre</w:t>
      </w:r>
      <w:r w:rsidRPr="007571AA">
        <w:rPr>
          <w:rFonts w:ascii="Selawik" w:hAnsi="Selawik"/>
          <w:sz w:val="23"/>
          <w:szCs w:val="23"/>
        </w:rPr>
        <w:t xml:space="preserve"> un projet urbain, une</w:t>
      </w:r>
      <w:r>
        <w:rPr>
          <w:rFonts w:ascii="Selawik" w:hAnsi="Selawik"/>
          <w:sz w:val="23"/>
          <w:szCs w:val="23"/>
        </w:rPr>
        <w:t xml:space="preserve"> </w:t>
      </w:r>
      <w:r w:rsidRPr="007571AA">
        <w:rPr>
          <w:rFonts w:ascii="Selawik" w:hAnsi="Selawik"/>
          <w:sz w:val="23"/>
          <w:szCs w:val="23"/>
        </w:rPr>
        <w:t xml:space="preserve">politique locale de l'habitat, d'organiser le maintien, </w:t>
      </w:r>
      <w:r w:rsidRPr="007571AA">
        <w:rPr>
          <w:rFonts w:ascii="Selawik" w:hAnsi="Selawik"/>
          <w:b/>
          <w:bCs/>
          <w:color w:val="002060"/>
          <w:sz w:val="23"/>
          <w:szCs w:val="23"/>
        </w:rPr>
        <w:t>l'extension ou l'accueil des activités économiques</w:t>
      </w:r>
      <w:r w:rsidRPr="007571AA">
        <w:rPr>
          <w:rFonts w:ascii="Selawik" w:hAnsi="Selawik"/>
          <w:sz w:val="23"/>
          <w:szCs w:val="23"/>
        </w:rPr>
        <w:t>,</w:t>
      </w:r>
      <w:r>
        <w:rPr>
          <w:rFonts w:ascii="Selawik" w:hAnsi="Selawik"/>
          <w:sz w:val="23"/>
          <w:szCs w:val="23"/>
        </w:rPr>
        <w:t xml:space="preserve"> </w:t>
      </w:r>
      <w:r w:rsidRPr="007571AA">
        <w:rPr>
          <w:rFonts w:ascii="Selawik" w:hAnsi="Selawik"/>
          <w:sz w:val="23"/>
          <w:szCs w:val="23"/>
        </w:rPr>
        <w:t>de favoriser le développement des loisirs et du tourisme, de réaliser des équipements collectifs ou des</w:t>
      </w:r>
      <w:r>
        <w:rPr>
          <w:rFonts w:ascii="Selawik" w:hAnsi="Selawik"/>
          <w:sz w:val="23"/>
          <w:szCs w:val="23"/>
        </w:rPr>
        <w:t xml:space="preserve"> </w:t>
      </w:r>
      <w:r w:rsidRPr="007571AA">
        <w:rPr>
          <w:rFonts w:ascii="Selawik" w:hAnsi="Selawik"/>
          <w:sz w:val="23"/>
          <w:szCs w:val="23"/>
        </w:rPr>
        <w:t>locaux de recherche ou d'enseignement supérieur, de lutter contre l'insalubrité et l'habitat indigne ou</w:t>
      </w:r>
      <w:r>
        <w:rPr>
          <w:rFonts w:ascii="Selawik" w:hAnsi="Selawik"/>
          <w:sz w:val="23"/>
          <w:szCs w:val="23"/>
        </w:rPr>
        <w:t xml:space="preserve"> </w:t>
      </w:r>
      <w:r w:rsidRPr="007571AA">
        <w:rPr>
          <w:rFonts w:ascii="Selawik" w:hAnsi="Selawik"/>
          <w:sz w:val="23"/>
          <w:szCs w:val="23"/>
        </w:rPr>
        <w:t>dangereux, de permettre le renouvellement urbain, de sauvegarder ou de mettre en valeur le</w:t>
      </w:r>
      <w:r>
        <w:rPr>
          <w:rFonts w:ascii="Selawik" w:hAnsi="Selawik"/>
          <w:sz w:val="23"/>
          <w:szCs w:val="23"/>
        </w:rPr>
        <w:t xml:space="preserve"> </w:t>
      </w:r>
      <w:r w:rsidRPr="007571AA">
        <w:rPr>
          <w:rFonts w:ascii="Selawik" w:hAnsi="Selawik"/>
          <w:sz w:val="23"/>
          <w:szCs w:val="23"/>
        </w:rPr>
        <w:t>patrimoine bâti ou non bâti et les espaces naturels</w:t>
      </w:r>
      <w:r>
        <w:rPr>
          <w:rFonts w:ascii="Calibri" w:hAnsi="Calibri" w:cs="Calibri"/>
          <w:sz w:val="23"/>
          <w:szCs w:val="23"/>
        </w:rPr>
        <w:t> </w:t>
      </w:r>
      <w:r>
        <w:rPr>
          <w:rFonts w:ascii="Selawik" w:hAnsi="Selawik" w:cs="Selawik"/>
          <w:sz w:val="23"/>
          <w:szCs w:val="23"/>
        </w:rPr>
        <w:t>»</w:t>
      </w:r>
      <w:r w:rsidRPr="007571AA">
        <w:rPr>
          <w:rFonts w:ascii="Selawik" w:hAnsi="Selawik"/>
          <w:sz w:val="23"/>
          <w:szCs w:val="23"/>
        </w:rPr>
        <w:t>.</w:t>
      </w:r>
    </w:p>
    <w:p w14:paraId="23B243B5" w14:textId="63516D06" w:rsidR="007571AA" w:rsidRDefault="007571AA" w:rsidP="00C846FC">
      <w:pPr>
        <w:spacing w:line="278" w:lineRule="auto"/>
        <w:rPr>
          <w:rFonts w:ascii="Selawik" w:hAnsi="Selawik"/>
          <w:sz w:val="23"/>
          <w:szCs w:val="23"/>
        </w:rPr>
      </w:pPr>
      <w:r w:rsidRPr="007571AA">
        <w:rPr>
          <w:rFonts w:ascii="Selawik" w:hAnsi="Selawik"/>
          <w:sz w:val="23"/>
          <w:szCs w:val="23"/>
        </w:rPr>
        <w:t>Le champ d'application de l'article L. 300-6 est donc potentiellement très large.</w:t>
      </w:r>
      <w:r w:rsidR="00B313B1">
        <w:rPr>
          <w:rFonts w:ascii="Selawik" w:hAnsi="Selawik"/>
          <w:sz w:val="23"/>
          <w:szCs w:val="23"/>
        </w:rPr>
        <w:t xml:space="preserve"> </w:t>
      </w:r>
      <w:r w:rsidR="00B313B1" w:rsidRPr="00B313B1">
        <w:rPr>
          <w:rFonts w:ascii="Selawik" w:hAnsi="Selawik"/>
          <w:sz w:val="23"/>
          <w:szCs w:val="23"/>
        </w:rPr>
        <w:t>Ce qui importe est finalement la réalité du projet répondant aux objets mentionnés à l'article L. 300-1,</w:t>
      </w:r>
      <w:r w:rsidR="00B313B1">
        <w:rPr>
          <w:rFonts w:ascii="Selawik" w:hAnsi="Selawik"/>
          <w:sz w:val="23"/>
          <w:szCs w:val="23"/>
        </w:rPr>
        <w:t xml:space="preserve"> </w:t>
      </w:r>
      <w:r w:rsidR="00B313B1" w:rsidRPr="00B313B1">
        <w:rPr>
          <w:rFonts w:ascii="Selawik" w:hAnsi="Selawik"/>
          <w:sz w:val="23"/>
          <w:szCs w:val="23"/>
        </w:rPr>
        <w:t>sa consistance mais aussi son ampleur (Conseil d'État, 2 novembre 2015, n° 374957, rendu à propos</w:t>
      </w:r>
      <w:r w:rsidR="00B313B1">
        <w:rPr>
          <w:rFonts w:ascii="Selawik" w:hAnsi="Selawik"/>
          <w:sz w:val="23"/>
          <w:szCs w:val="23"/>
        </w:rPr>
        <w:t xml:space="preserve"> </w:t>
      </w:r>
      <w:r w:rsidR="00B313B1" w:rsidRPr="00B313B1">
        <w:rPr>
          <w:rFonts w:ascii="Selawik" w:hAnsi="Selawik"/>
          <w:sz w:val="23"/>
          <w:szCs w:val="23"/>
        </w:rPr>
        <w:t>de l'exercice du droit de préemption urbain).</w:t>
      </w:r>
    </w:p>
    <w:p w14:paraId="45D05DD0" w14:textId="77777777" w:rsidR="00347BA8" w:rsidRPr="00C7190E" w:rsidRDefault="00347BA8" w:rsidP="00C846FC">
      <w:pPr>
        <w:spacing w:line="278" w:lineRule="auto"/>
        <w:rPr>
          <w:rFonts w:ascii="Selawik" w:hAnsi="Selawik"/>
          <w:sz w:val="23"/>
          <w:szCs w:val="23"/>
        </w:rPr>
      </w:pPr>
    </w:p>
    <w:p w14:paraId="55AC7B14" w14:textId="28C2B0FB" w:rsidR="006E0906" w:rsidRPr="006E0906" w:rsidRDefault="006E0906" w:rsidP="00C846FC">
      <w:pPr>
        <w:spacing w:line="278" w:lineRule="auto"/>
        <w:rPr>
          <w:rFonts w:ascii="Selawik" w:hAnsi="Selawik"/>
          <w:b/>
          <w:sz w:val="23"/>
          <w:szCs w:val="23"/>
        </w:rPr>
      </w:pPr>
      <w:r w:rsidRPr="006E0906">
        <w:rPr>
          <w:rFonts w:ascii="Selawik" w:hAnsi="Selawik"/>
          <w:b/>
          <w:sz w:val="23"/>
          <w:szCs w:val="23"/>
        </w:rPr>
        <w:t xml:space="preserve">Personnes publiques compétentes pour mettre en </w:t>
      </w:r>
      <w:r w:rsidR="00671293" w:rsidRPr="006E0906">
        <w:rPr>
          <w:rFonts w:ascii="Selawik" w:hAnsi="Selawik"/>
          <w:b/>
          <w:sz w:val="23"/>
          <w:szCs w:val="23"/>
        </w:rPr>
        <w:t>œuvre</w:t>
      </w:r>
      <w:r w:rsidRPr="006E0906">
        <w:rPr>
          <w:rFonts w:ascii="Selawik" w:hAnsi="Selawik"/>
          <w:b/>
          <w:sz w:val="23"/>
          <w:szCs w:val="23"/>
        </w:rPr>
        <w:t xml:space="preserve"> la déclaration de projet</w:t>
      </w:r>
    </w:p>
    <w:p w14:paraId="269C00F5" w14:textId="2C443FA0" w:rsidR="00B23733" w:rsidRPr="00B23733" w:rsidRDefault="00B23733" w:rsidP="00C846FC">
      <w:pPr>
        <w:spacing w:line="278" w:lineRule="auto"/>
        <w:rPr>
          <w:rFonts w:ascii="Selawik" w:hAnsi="Selawik"/>
          <w:sz w:val="23"/>
          <w:szCs w:val="23"/>
        </w:rPr>
      </w:pPr>
      <w:r w:rsidRPr="00B23733">
        <w:rPr>
          <w:rFonts w:ascii="Selawik" w:hAnsi="Selawik"/>
          <w:sz w:val="23"/>
          <w:szCs w:val="23"/>
        </w:rPr>
        <w:t xml:space="preserve">La déclaration de projet du code de l'urbanisme peut être mise en </w:t>
      </w:r>
      <w:r w:rsidR="00671293" w:rsidRPr="00B23733">
        <w:rPr>
          <w:rFonts w:ascii="Selawik" w:hAnsi="Selawik"/>
          <w:sz w:val="23"/>
          <w:szCs w:val="23"/>
        </w:rPr>
        <w:t>œuvre</w:t>
      </w:r>
      <w:r w:rsidRPr="00B23733">
        <w:rPr>
          <w:rFonts w:ascii="Selawik" w:hAnsi="Selawik"/>
          <w:sz w:val="23"/>
          <w:szCs w:val="23"/>
        </w:rPr>
        <w:t xml:space="preserve"> par l'État et </w:t>
      </w:r>
      <w:r w:rsidRPr="00B23733">
        <w:rPr>
          <w:rFonts w:ascii="Selawik" w:hAnsi="Selawik"/>
          <w:b/>
          <w:bCs/>
          <w:color w:val="002060"/>
          <w:sz w:val="23"/>
          <w:szCs w:val="23"/>
        </w:rPr>
        <w:t xml:space="preserve">ses établissements publics, </w:t>
      </w:r>
      <w:r w:rsidRPr="00B23733">
        <w:rPr>
          <w:rFonts w:ascii="Selawik" w:hAnsi="Selawik"/>
          <w:sz w:val="23"/>
          <w:szCs w:val="23"/>
        </w:rPr>
        <w:t>la région, le département, les communes et leurs groupements.</w:t>
      </w:r>
    </w:p>
    <w:p w14:paraId="097E0778" w14:textId="2EEEB3E3" w:rsidR="00B23733" w:rsidRDefault="00B23733" w:rsidP="00C846FC">
      <w:pPr>
        <w:spacing w:line="278" w:lineRule="auto"/>
        <w:rPr>
          <w:rFonts w:ascii="Selawik" w:hAnsi="Selawik"/>
          <w:sz w:val="23"/>
          <w:szCs w:val="23"/>
        </w:rPr>
      </w:pPr>
      <w:r w:rsidRPr="00B23733">
        <w:rPr>
          <w:rFonts w:ascii="Selawik" w:hAnsi="Selawik"/>
          <w:sz w:val="23"/>
          <w:szCs w:val="23"/>
        </w:rPr>
        <w:t xml:space="preserve">Pour mémoire, l’article L. 5111-1 du </w:t>
      </w:r>
      <w:r w:rsidR="00DC7FA9" w:rsidRPr="00DC7FA9">
        <w:rPr>
          <w:rFonts w:ascii="Selawik" w:hAnsi="Selawik"/>
          <w:sz w:val="23"/>
          <w:szCs w:val="23"/>
        </w:rPr>
        <w:t xml:space="preserve">Code général des collectivités territoriales </w:t>
      </w:r>
      <w:r w:rsidR="00DC7FA9">
        <w:rPr>
          <w:rFonts w:ascii="Selawik" w:hAnsi="Selawik"/>
          <w:sz w:val="23"/>
          <w:szCs w:val="23"/>
        </w:rPr>
        <w:t>(</w:t>
      </w:r>
      <w:r w:rsidRPr="00B23733">
        <w:rPr>
          <w:rFonts w:ascii="Selawik" w:hAnsi="Selawik"/>
          <w:sz w:val="23"/>
          <w:szCs w:val="23"/>
        </w:rPr>
        <w:t>CGCT</w:t>
      </w:r>
      <w:r w:rsidR="00DC7FA9">
        <w:rPr>
          <w:rFonts w:ascii="Selawik" w:hAnsi="Selawik"/>
          <w:sz w:val="23"/>
          <w:szCs w:val="23"/>
        </w:rPr>
        <w:t>)</w:t>
      </w:r>
      <w:r w:rsidRPr="00B23733">
        <w:rPr>
          <w:rFonts w:ascii="Selawik" w:hAnsi="Selawik"/>
          <w:sz w:val="23"/>
          <w:szCs w:val="23"/>
        </w:rPr>
        <w:t xml:space="preserve"> a précisé la définition d’un groupement de collectivités</w:t>
      </w:r>
      <w:r>
        <w:rPr>
          <w:rFonts w:ascii="Selawik" w:hAnsi="Selawik"/>
          <w:sz w:val="23"/>
          <w:szCs w:val="23"/>
        </w:rPr>
        <w:t xml:space="preserve"> </w:t>
      </w:r>
      <w:r w:rsidRPr="00B23733">
        <w:rPr>
          <w:rFonts w:ascii="Selawik" w:hAnsi="Selawik"/>
          <w:sz w:val="23"/>
          <w:szCs w:val="23"/>
        </w:rPr>
        <w:t xml:space="preserve">territoriales : </w:t>
      </w:r>
      <w:r>
        <w:rPr>
          <w:rFonts w:ascii="Selawik" w:hAnsi="Selawik"/>
          <w:sz w:val="23"/>
          <w:szCs w:val="23"/>
        </w:rPr>
        <w:t>«</w:t>
      </w:r>
      <w:r>
        <w:rPr>
          <w:rFonts w:ascii="Calibri" w:hAnsi="Calibri" w:cs="Calibri"/>
          <w:sz w:val="23"/>
          <w:szCs w:val="23"/>
        </w:rPr>
        <w:t> </w:t>
      </w:r>
      <w:r w:rsidRPr="00B23733">
        <w:rPr>
          <w:rFonts w:ascii="Selawik" w:hAnsi="Selawik"/>
          <w:sz w:val="23"/>
          <w:szCs w:val="23"/>
        </w:rPr>
        <w:t>Forment la catégorie des groupements de collectivités territoriales les établissements</w:t>
      </w:r>
      <w:r>
        <w:rPr>
          <w:rFonts w:ascii="Selawik" w:hAnsi="Selawik"/>
          <w:sz w:val="23"/>
          <w:szCs w:val="23"/>
        </w:rPr>
        <w:t xml:space="preserve"> </w:t>
      </w:r>
      <w:r w:rsidRPr="00B23733">
        <w:rPr>
          <w:rFonts w:ascii="Selawik" w:hAnsi="Selawik"/>
          <w:sz w:val="23"/>
          <w:szCs w:val="23"/>
        </w:rPr>
        <w:t>publics de coopération intercommunale et les syndicats mixtes, mentionnés aux articles L. 5711-1 et</w:t>
      </w:r>
      <w:r>
        <w:rPr>
          <w:rFonts w:ascii="Selawik" w:hAnsi="Selawik"/>
          <w:sz w:val="23"/>
          <w:szCs w:val="23"/>
        </w:rPr>
        <w:t xml:space="preserve"> </w:t>
      </w:r>
      <w:r w:rsidR="0011543B" w:rsidRPr="00B23733">
        <w:rPr>
          <w:rFonts w:ascii="Selawik" w:hAnsi="Selawik"/>
          <w:sz w:val="23"/>
          <w:szCs w:val="23"/>
        </w:rPr>
        <w:t>L.</w:t>
      </w:r>
      <w:r w:rsidRPr="00B23733">
        <w:rPr>
          <w:rFonts w:ascii="Selawik" w:hAnsi="Selawik"/>
          <w:sz w:val="23"/>
          <w:szCs w:val="23"/>
        </w:rPr>
        <w:t xml:space="preserve"> 5721-8, les pôles métropolitains, les pôles d'équilibre territoriaux et ruraux, les agences</w:t>
      </w:r>
      <w:r>
        <w:rPr>
          <w:rFonts w:ascii="Selawik" w:hAnsi="Selawik"/>
          <w:sz w:val="23"/>
          <w:szCs w:val="23"/>
        </w:rPr>
        <w:t xml:space="preserve"> </w:t>
      </w:r>
      <w:r w:rsidRPr="00B23733">
        <w:rPr>
          <w:rFonts w:ascii="Selawik" w:hAnsi="Selawik"/>
          <w:sz w:val="23"/>
          <w:szCs w:val="23"/>
        </w:rPr>
        <w:t>départementales, les institutions ou organismes interdépartementaux et les ententes interrégionales</w:t>
      </w:r>
      <w:r>
        <w:rPr>
          <w:rFonts w:ascii="Calibri" w:hAnsi="Calibri" w:cs="Calibri"/>
          <w:sz w:val="23"/>
          <w:szCs w:val="23"/>
        </w:rPr>
        <w:t> </w:t>
      </w:r>
      <w:r>
        <w:rPr>
          <w:rFonts w:ascii="Selawik" w:hAnsi="Selawik" w:cs="Selawik"/>
          <w:sz w:val="23"/>
          <w:szCs w:val="23"/>
        </w:rPr>
        <w:t>»</w:t>
      </w:r>
      <w:r w:rsidRPr="00B23733">
        <w:rPr>
          <w:rFonts w:ascii="Selawik" w:hAnsi="Selawik"/>
          <w:sz w:val="23"/>
          <w:szCs w:val="23"/>
        </w:rPr>
        <w:t>.</w:t>
      </w:r>
    </w:p>
    <w:p w14:paraId="3984A1C5" w14:textId="0984B2FF" w:rsidR="00B23733" w:rsidRPr="00B23733" w:rsidRDefault="00B23733" w:rsidP="00C846FC">
      <w:pPr>
        <w:spacing w:line="278" w:lineRule="auto"/>
        <w:rPr>
          <w:rFonts w:ascii="Selawik" w:hAnsi="Selawik"/>
          <w:sz w:val="23"/>
          <w:szCs w:val="23"/>
        </w:rPr>
      </w:pPr>
      <w:r w:rsidRPr="00B23733">
        <w:rPr>
          <w:rFonts w:ascii="Selawik" w:hAnsi="Selawik"/>
          <w:sz w:val="23"/>
          <w:szCs w:val="23"/>
        </w:rPr>
        <w:t>Ainsi, seuls sont des groupements de collectivités territoriales les syndicats mixtes mentionnés aux</w:t>
      </w:r>
      <w:r>
        <w:rPr>
          <w:rFonts w:ascii="Selawik" w:hAnsi="Selawik"/>
          <w:sz w:val="23"/>
          <w:szCs w:val="23"/>
        </w:rPr>
        <w:t xml:space="preserve"> </w:t>
      </w:r>
      <w:r w:rsidRPr="00B23733">
        <w:rPr>
          <w:rFonts w:ascii="Selawik" w:hAnsi="Selawik"/>
          <w:sz w:val="23"/>
          <w:szCs w:val="23"/>
        </w:rPr>
        <w:t xml:space="preserve">articles L. 5711-1 et L. 5721-8 du </w:t>
      </w:r>
      <w:r w:rsidR="00DC7FA9" w:rsidRPr="00DC7FA9">
        <w:rPr>
          <w:rFonts w:ascii="Selawik" w:hAnsi="Selawik"/>
          <w:sz w:val="23"/>
          <w:szCs w:val="23"/>
        </w:rPr>
        <w:t>Code général des collectivités territoriales</w:t>
      </w:r>
      <w:r w:rsidRPr="00B23733">
        <w:rPr>
          <w:rFonts w:ascii="Selawik" w:hAnsi="Selawik"/>
          <w:sz w:val="23"/>
          <w:szCs w:val="23"/>
        </w:rPr>
        <w:t>, c'est-à-dire :</w:t>
      </w:r>
    </w:p>
    <w:p w14:paraId="303EC6AD" w14:textId="62B34B34" w:rsidR="00B23733" w:rsidRPr="00B23733" w:rsidRDefault="005674E2" w:rsidP="00C846FC">
      <w:pPr>
        <w:pStyle w:val="Paragraphedeliste"/>
        <w:numPr>
          <w:ilvl w:val="0"/>
          <w:numId w:val="26"/>
        </w:numPr>
        <w:spacing w:line="278" w:lineRule="auto"/>
        <w:ind w:left="284" w:hanging="218"/>
        <w:contextualSpacing w:val="0"/>
        <w:rPr>
          <w:rFonts w:ascii="Selawik" w:hAnsi="Selawik"/>
          <w:sz w:val="23"/>
          <w:szCs w:val="23"/>
        </w:rPr>
      </w:pPr>
      <w:r w:rsidRPr="00B23733">
        <w:rPr>
          <w:rFonts w:ascii="Selawik" w:hAnsi="Selawik"/>
          <w:sz w:val="23"/>
          <w:szCs w:val="23"/>
        </w:rPr>
        <w:t>Les</w:t>
      </w:r>
      <w:r w:rsidR="00B23733" w:rsidRPr="00B23733">
        <w:rPr>
          <w:rFonts w:ascii="Selawik" w:hAnsi="Selawik"/>
          <w:sz w:val="23"/>
          <w:szCs w:val="23"/>
        </w:rPr>
        <w:t xml:space="preserve"> syndicats mixtes fermés constitués de communes et d’EPCI ou exclusivement d’EPCI ;</w:t>
      </w:r>
    </w:p>
    <w:p w14:paraId="29D9CE71" w14:textId="3378820C" w:rsidR="00635416" w:rsidRDefault="005674E2" w:rsidP="00C846FC">
      <w:pPr>
        <w:pStyle w:val="Paragraphedeliste"/>
        <w:numPr>
          <w:ilvl w:val="0"/>
          <w:numId w:val="26"/>
        </w:numPr>
        <w:spacing w:line="278" w:lineRule="auto"/>
        <w:ind w:left="284" w:hanging="218"/>
        <w:contextualSpacing w:val="0"/>
        <w:jc w:val="left"/>
        <w:rPr>
          <w:rFonts w:ascii="Selawik" w:hAnsi="Selawik"/>
          <w:sz w:val="23"/>
          <w:szCs w:val="23"/>
        </w:rPr>
      </w:pPr>
      <w:r w:rsidRPr="00B23733">
        <w:rPr>
          <w:rFonts w:ascii="Selawik" w:hAnsi="Selawik"/>
          <w:sz w:val="23"/>
          <w:szCs w:val="23"/>
        </w:rPr>
        <w:t>Les</w:t>
      </w:r>
      <w:r w:rsidR="00B23733" w:rsidRPr="00B23733">
        <w:rPr>
          <w:rFonts w:ascii="Selawik" w:hAnsi="Selawik"/>
          <w:sz w:val="23"/>
          <w:szCs w:val="23"/>
        </w:rPr>
        <w:t xml:space="preserve"> syndicats mixtes ouverts « restreints » associant exclusivement des communes, des EPCI, des départements et des régions.</w:t>
      </w:r>
    </w:p>
    <w:p w14:paraId="48266507" w14:textId="77777777" w:rsidR="00B23733" w:rsidRDefault="00B23733" w:rsidP="00C846FC">
      <w:pPr>
        <w:spacing w:line="278" w:lineRule="auto"/>
        <w:rPr>
          <w:rFonts w:ascii="Selawik" w:hAnsi="Selawik"/>
          <w:sz w:val="23"/>
          <w:szCs w:val="23"/>
        </w:rPr>
      </w:pPr>
      <w:r w:rsidRPr="00B23733">
        <w:rPr>
          <w:rFonts w:ascii="Selawik" w:hAnsi="Selawik"/>
          <w:sz w:val="23"/>
          <w:szCs w:val="23"/>
        </w:rPr>
        <w:t xml:space="preserve">A contrario, un syndicat mixte ouvert </w:t>
      </w:r>
      <w:r>
        <w:rPr>
          <w:rFonts w:ascii="Selawik" w:hAnsi="Selawik"/>
          <w:sz w:val="23"/>
          <w:szCs w:val="23"/>
        </w:rPr>
        <w:t>«</w:t>
      </w:r>
      <w:r>
        <w:rPr>
          <w:rFonts w:ascii="Calibri" w:hAnsi="Calibri" w:cs="Calibri"/>
          <w:sz w:val="23"/>
          <w:szCs w:val="23"/>
        </w:rPr>
        <w:t> </w:t>
      </w:r>
      <w:r w:rsidRPr="00B23733">
        <w:rPr>
          <w:rFonts w:ascii="Selawik" w:hAnsi="Selawik"/>
          <w:sz w:val="23"/>
          <w:szCs w:val="23"/>
        </w:rPr>
        <w:t>élargi</w:t>
      </w:r>
      <w:r>
        <w:rPr>
          <w:rFonts w:ascii="Calibri" w:hAnsi="Calibri" w:cs="Calibri"/>
          <w:sz w:val="23"/>
          <w:szCs w:val="23"/>
        </w:rPr>
        <w:t> </w:t>
      </w:r>
      <w:r>
        <w:rPr>
          <w:rFonts w:ascii="Selawik" w:hAnsi="Selawik" w:cs="Selawik"/>
          <w:sz w:val="23"/>
          <w:szCs w:val="23"/>
        </w:rPr>
        <w:t>»</w:t>
      </w:r>
      <w:r w:rsidRPr="00B23733">
        <w:rPr>
          <w:rFonts w:ascii="Selawik" w:hAnsi="Selawik"/>
          <w:sz w:val="23"/>
          <w:szCs w:val="23"/>
        </w:rPr>
        <w:t>, c'est-à-dire associant d'autres personnes morales de droit</w:t>
      </w:r>
      <w:r>
        <w:rPr>
          <w:rFonts w:ascii="Selawik" w:hAnsi="Selawik"/>
          <w:sz w:val="23"/>
          <w:szCs w:val="23"/>
        </w:rPr>
        <w:t xml:space="preserve"> </w:t>
      </w:r>
      <w:r w:rsidRPr="00B23733">
        <w:rPr>
          <w:rFonts w:ascii="Selawik" w:hAnsi="Selawik"/>
          <w:sz w:val="23"/>
          <w:szCs w:val="23"/>
        </w:rPr>
        <w:t>public (un syndicat par exemple constitué de communautés de communes, d’une chambre de</w:t>
      </w:r>
      <w:r>
        <w:rPr>
          <w:rFonts w:ascii="Selawik" w:hAnsi="Selawik"/>
          <w:sz w:val="23"/>
          <w:szCs w:val="23"/>
        </w:rPr>
        <w:t xml:space="preserve"> </w:t>
      </w:r>
      <w:r w:rsidRPr="00B23733">
        <w:rPr>
          <w:rFonts w:ascii="Selawik" w:hAnsi="Selawik"/>
          <w:sz w:val="23"/>
          <w:szCs w:val="23"/>
        </w:rPr>
        <w:t xml:space="preserve">commerce et d'industrie ainsi que d'un conseil départemental), </w:t>
      </w:r>
      <w:r w:rsidRPr="00B23733">
        <w:rPr>
          <w:rFonts w:ascii="Selawik" w:hAnsi="Selawik"/>
          <w:b/>
          <w:bCs/>
          <w:sz w:val="23"/>
          <w:szCs w:val="23"/>
        </w:rPr>
        <w:t>ne constitue pas un groupement de collectivités territoriales</w:t>
      </w:r>
      <w:r w:rsidRPr="00B23733">
        <w:rPr>
          <w:rFonts w:ascii="Selawik" w:hAnsi="Selawik"/>
          <w:sz w:val="23"/>
          <w:szCs w:val="23"/>
        </w:rPr>
        <w:t>. Il ne peut donc pas se prononcer par une déclaration de projet sur l’intérêt</w:t>
      </w:r>
      <w:r>
        <w:rPr>
          <w:rFonts w:ascii="Selawik" w:hAnsi="Selawik"/>
          <w:sz w:val="23"/>
          <w:szCs w:val="23"/>
        </w:rPr>
        <w:t xml:space="preserve"> </w:t>
      </w:r>
      <w:r w:rsidRPr="00B23733">
        <w:rPr>
          <w:rFonts w:ascii="Selawik" w:hAnsi="Selawik"/>
          <w:sz w:val="23"/>
          <w:szCs w:val="23"/>
        </w:rPr>
        <w:t>général d’une action ou opération d’aménagement au titre de l’article L. 300-6 du code de l’urbanisme.</w:t>
      </w:r>
    </w:p>
    <w:p w14:paraId="2CE7C717" w14:textId="6E380E50" w:rsidR="006E0906" w:rsidRDefault="00B23733" w:rsidP="00C846FC">
      <w:pPr>
        <w:spacing w:line="278" w:lineRule="auto"/>
        <w:rPr>
          <w:rFonts w:ascii="Selawik" w:hAnsi="Selawik"/>
          <w:sz w:val="23"/>
          <w:szCs w:val="23"/>
        </w:rPr>
      </w:pPr>
      <w:r w:rsidRPr="00B23733">
        <w:rPr>
          <w:rFonts w:ascii="Selawik" w:hAnsi="Selawik"/>
          <w:sz w:val="23"/>
          <w:szCs w:val="23"/>
        </w:rPr>
        <w:t>Par ailleurs, une des particularités de la déclaration de projet emportant mise en compatibilité du PLU</w:t>
      </w:r>
      <w:r>
        <w:rPr>
          <w:rFonts w:ascii="Selawik" w:hAnsi="Selawik"/>
          <w:sz w:val="23"/>
          <w:szCs w:val="23"/>
        </w:rPr>
        <w:t xml:space="preserve"> </w:t>
      </w:r>
      <w:r w:rsidRPr="00B23733">
        <w:rPr>
          <w:rFonts w:ascii="Selawik" w:hAnsi="Selawik"/>
          <w:sz w:val="23"/>
          <w:szCs w:val="23"/>
        </w:rPr>
        <w:t>est qu'</w:t>
      </w:r>
      <w:r w:rsidRPr="00B23733">
        <w:rPr>
          <w:rFonts w:ascii="Selawik" w:hAnsi="Selawik"/>
          <w:b/>
          <w:bCs/>
          <w:color w:val="002060"/>
          <w:sz w:val="23"/>
          <w:szCs w:val="23"/>
        </w:rPr>
        <w:t>elle peut être initiée par une personne publique autre que celle compétente sur le document d'urbanisme applicable sur le lieu du projet</w:t>
      </w:r>
      <w:r w:rsidRPr="00B23733">
        <w:rPr>
          <w:rFonts w:ascii="Selawik" w:hAnsi="Selawik"/>
          <w:sz w:val="23"/>
          <w:szCs w:val="23"/>
        </w:rPr>
        <w:t>. Néanmoins, dans ce cas, la personne publique doit</w:t>
      </w:r>
      <w:r>
        <w:rPr>
          <w:rFonts w:ascii="Selawik" w:hAnsi="Selawik"/>
          <w:sz w:val="23"/>
          <w:szCs w:val="23"/>
        </w:rPr>
        <w:t xml:space="preserve"> </w:t>
      </w:r>
      <w:r w:rsidRPr="00B23733">
        <w:rPr>
          <w:rFonts w:ascii="Selawik" w:hAnsi="Selawik"/>
          <w:sz w:val="23"/>
          <w:szCs w:val="23"/>
        </w:rPr>
        <w:t xml:space="preserve">obligatoirement être compétente pour mettre en </w:t>
      </w:r>
      <w:r w:rsidR="00A8178E" w:rsidRPr="00B23733">
        <w:rPr>
          <w:rFonts w:ascii="Selawik" w:hAnsi="Selawik"/>
          <w:sz w:val="23"/>
          <w:szCs w:val="23"/>
        </w:rPr>
        <w:t>œuvre</w:t>
      </w:r>
      <w:r w:rsidRPr="00B23733">
        <w:rPr>
          <w:rFonts w:ascii="Selawik" w:hAnsi="Selawik"/>
          <w:sz w:val="23"/>
          <w:szCs w:val="23"/>
        </w:rPr>
        <w:t xml:space="preserve"> le projet poursuivi. C'est ce qu'a jugé la Cour</w:t>
      </w:r>
      <w:r w:rsidR="00AF0385">
        <w:rPr>
          <w:rFonts w:ascii="Selawik" w:hAnsi="Selawik"/>
          <w:sz w:val="23"/>
          <w:szCs w:val="23"/>
        </w:rPr>
        <w:t xml:space="preserve"> </w:t>
      </w:r>
      <w:r w:rsidRPr="00B23733">
        <w:rPr>
          <w:rFonts w:ascii="Selawik" w:hAnsi="Selawik"/>
          <w:sz w:val="23"/>
          <w:szCs w:val="23"/>
        </w:rPr>
        <w:t>administrative d'appel de Nancy dans un arrêt du 27 juin 2013 (n° 12NC01884) en considérant qu'une</w:t>
      </w:r>
      <w:r w:rsidR="00AF0385">
        <w:rPr>
          <w:rFonts w:ascii="Selawik" w:hAnsi="Selawik"/>
          <w:sz w:val="23"/>
          <w:szCs w:val="23"/>
        </w:rPr>
        <w:t xml:space="preserve"> </w:t>
      </w:r>
      <w:r w:rsidRPr="00B23733">
        <w:rPr>
          <w:rFonts w:ascii="Selawik" w:hAnsi="Selawik"/>
          <w:sz w:val="23"/>
          <w:szCs w:val="23"/>
        </w:rPr>
        <w:t xml:space="preserve">commune n'est pas compétente pour se prononcer, </w:t>
      </w:r>
      <w:r w:rsidRPr="00B23733">
        <w:rPr>
          <w:rFonts w:ascii="Selawik" w:hAnsi="Selawik"/>
          <w:sz w:val="23"/>
          <w:szCs w:val="23"/>
        </w:rPr>
        <w:lastRenderedPageBreak/>
        <w:t>par une déclaration de projet, sur l'intérêt général</w:t>
      </w:r>
      <w:r w:rsidR="00AF0385">
        <w:rPr>
          <w:rFonts w:ascii="Selawik" w:hAnsi="Selawik"/>
          <w:sz w:val="23"/>
          <w:szCs w:val="23"/>
        </w:rPr>
        <w:t xml:space="preserve"> </w:t>
      </w:r>
      <w:r w:rsidRPr="00B23733">
        <w:rPr>
          <w:rFonts w:ascii="Selawik" w:hAnsi="Selawik"/>
          <w:sz w:val="23"/>
          <w:szCs w:val="23"/>
        </w:rPr>
        <w:t>d'une opération de requalification de friches militaires dès lors que la communauté de communes dont</w:t>
      </w:r>
      <w:r w:rsidR="00AF0385">
        <w:rPr>
          <w:rFonts w:ascii="Selawik" w:hAnsi="Selawik"/>
          <w:sz w:val="23"/>
          <w:szCs w:val="23"/>
        </w:rPr>
        <w:t xml:space="preserve"> </w:t>
      </w:r>
      <w:r w:rsidRPr="00B23733">
        <w:rPr>
          <w:rFonts w:ascii="Selawik" w:hAnsi="Selawik"/>
          <w:sz w:val="23"/>
          <w:szCs w:val="23"/>
        </w:rPr>
        <w:t xml:space="preserve">elle est membre est compétente, en application de ses statuts, </w:t>
      </w:r>
      <w:r w:rsidR="00AF0385">
        <w:rPr>
          <w:rFonts w:ascii="Selawik" w:hAnsi="Selawik"/>
          <w:sz w:val="23"/>
          <w:szCs w:val="23"/>
        </w:rPr>
        <w:t>«</w:t>
      </w:r>
      <w:r w:rsidR="00AF0385">
        <w:rPr>
          <w:rFonts w:ascii="Calibri" w:hAnsi="Calibri" w:cs="Calibri"/>
          <w:sz w:val="23"/>
          <w:szCs w:val="23"/>
        </w:rPr>
        <w:t> </w:t>
      </w:r>
      <w:r w:rsidRPr="00B23733">
        <w:rPr>
          <w:rFonts w:ascii="Selawik" w:hAnsi="Selawik"/>
          <w:sz w:val="23"/>
          <w:szCs w:val="23"/>
        </w:rPr>
        <w:t>pour la réhabilitation, le traitement et la</w:t>
      </w:r>
      <w:r w:rsidR="00AF0385">
        <w:rPr>
          <w:rFonts w:ascii="Selawik" w:hAnsi="Selawik"/>
          <w:sz w:val="23"/>
          <w:szCs w:val="23"/>
        </w:rPr>
        <w:t xml:space="preserve"> </w:t>
      </w:r>
      <w:r w:rsidRPr="00B23733">
        <w:rPr>
          <w:rFonts w:ascii="Selawik" w:hAnsi="Selawik"/>
          <w:sz w:val="23"/>
          <w:szCs w:val="23"/>
        </w:rPr>
        <w:t>reconversion des friches militaires</w:t>
      </w:r>
      <w:r w:rsidR="00AF0385">
        <w:rPr>
          <w:rFonts w:ascii="Calibri" w:hAnsi="Calibri" w:cs="Calibri"/>
          <w:sz w:val="23"/>
          <w:szCs w:val="23"/>
        </w:rPr>
        <w:t> </w:t>
      </w:r>
      <w:r w:rsidR="00AF0385">
        <w:rPr>
          <w:rFonts w:ascii="Selawik" w:hAnsi="Selawik" w:cs="Selawik"/>
          <w:sz w:val="23"/>
          <w:szCs w:val="23"/>
        </w:rPr>
        <w:t>»</w:t>
      </w:r>
      <w:r w:rsidRPr="00B23733">
        <w:rPr>
          <w:rFonts w:ascii="Selawik" w:hAnsi="Selawik"/>
          <w:sz w:val="23"/>
          <w:szCs w:val="23"/>
        </w:rPr>
        <w:t>.</w:t>
      </w:r>
    </w:p>
    <w:p w14:paraId="56CB50CF" w14:textId="7C2F4CD0" w:rsidR="00443AD9" w:rsidRDefault="001A2238" w:rsidP="00C846FC">
      <w:pPr>
        <w:shd w:val="clear" w:color="auto" w:fill="002060"/>
        <w:spacing w:line="278" w:lineRule="auto"/>
        <w:rPr>
          <w:rFonts w:ascii="Selawik" w:hAnsi="Selawik"/>
          <w:color w:val="FFFFFF" w:themeColor="background1"/>
          <w:sz w:val="23"/>
          <w:szCs w:val="23"/>
        </w:rPr>
      </w:pPr>
      <w:r w:rsidRPr="00E6489D">
        <w:rPr>
          <w:rFonts w:ascii="Selawik" w:hAnsi="Selawik"/>
          <w:b/>
          <w:bCs/>
          <w:color w:val="FFFFFF" w:themeColor="background1"/>
          <w:sz w:val="23"/>
          <w:szCs w:val="23"/>
        </w:rPr>
        <w:t xml:space="preserve">Dans le cas présent, il s’agit d’un projet d’initiative privée, </w:t>
      </w:r>
      <w:r w:rsidR="00F83FAB">
        <w:rPr>
          <w:rFonts w:ascii="Selawik" w:hAnsi="Selawik"/>
          <w:b/>
          <w:bCs/>
          <w:color w:val="FFFFFF" w:themeColor="background1"/>
          <w:sz w:val="23"/>
          <w:szCs w:val="23"/>
        </w:rPr>
        <w:t>soutenue</w:t>
      </w:r>
      <w:r w:rsidRPr="00E6489D">
        <w:rPr>
          <w:rFonts w:ascii="Selawik" w:hAnsi="Selawik"/>
          <w:b/>
          <w:bCs/>
          <w:color w:val="FFFFFF" w:themeColor="background1"/>
          <w:sz w:val="23"/>
          <w:szCs w:val="23"/>
        </w:rPr>
        <w:t xml:space="preserve"> par la commune</w:t>
      </w:r>
      <w:r w:rsidR="004A3918">
        <w:rPr>
          <w:rFonts w:ascii="Selawik" w:hAnsi="Selawik"/>
          <w:b/>
          <w:bCs/>
          <w:color w:val="FFFFFF" w:themeColor="background1"/>
          <w:sz w:val="23"/>
          <w:szCs w:val="23"/>
        </w:rPr>
        <w:t xml:space="preserve"> de Sully-sur-Loire</w:t>
      </w:r>
      <w:r w:rsidRPr="00E6489D">
        <w:rPr>
          <w:rFonts w:ascii="Selawik" w:hAnsi="Selawik"/>
          <w:color w:val="FFFFFF" w:themeColor="background1"/>
          <w:sz w:val="23"/>
          <w:szCs w:val="23"/>
        </w:rPr>
        <w:t xml:space="preserve"> pour l’</w:t>
      </w:r>
      <w:r w:rsidR="00AF0385" w:rsidRPr="00E6489D">
        <w:rPr>
          <w:rFonts w:ascii="Selawik" w:hAnsi="Selawik"/>
          <w:color w:val="FFFFFF" w:themeColor="background1"/>
          <w:sz w:val="23"/>
          <w:szCs w:val="23"/>
        </w:rPr>
        <w:t xml:space="preserve">extension de la carrière alluvionnaire </w:t>
      </w:r>
      <w:r w:rsidRPr="00E6489D">
        <w:rPr>
          <w:rFonts w:ascii="Selawik" w:hAnsi="Selawik"/>
          <w:color w:val="FFFFFF" w:themeColor="background1"/>
          <w:sz w:val="23"/>
          <w:szCs w:val="23"/>
        </w:rPr>
        <w:t>ayant pour but d</w:t>
      </w:r>
      <w:r w:rsidR="00AF0385" w:rsidRPr="00E6489D">
        <w:rPr>
          <w:rFonts w:ascii="Selawik" w:hAnsi="Selawik"/>
          <w:color w:val="FFFFFF" w:themeColor="background1"/>
          <w:sz w:val="23"/>
          <w:szCs w:val="23"/>
        </w:rPr>
        <w:t xml:space="preserve">e </w:t>
      </w:r>
      <w:r w:rsidR="00F36452" w:rsidRPr="00F36452">
        <w:rPr>
          <w:rFonts w:ascii="Selawik" w:hAnsi="Selawik"/>
          <w:color w:val="FFFFFF" w:themeColor="background1"/>
          <w:sz w:val="23"/>
          <w:szCs w:val="23"/>
        </w:rPr>
        <w:t xml:space="preserve">permettre l'exploitation durable du site et la remise en état sous la forme d'un parcours pédagogique </w:t>
      </w:r>
      <w:r w:rsidR="00F83FAB">
        <w:rPr>
          <w:rFonts w:ascii="Selawik" w:hAnsi="Selawik"/>
          <w:color w:val="FFFFFF" w:themeColor="background1"/>
          <w:sz w:val="23"/>
          <w:szCs w:val="23"/>
        </w:rPr>
        <w:t xml:space="preserve">et </w:t>
      </w:r>
      <w:r w:rsidR="00F36452" w:rsidRPr="00F36452">
        <w:rPr>
          <w:rFonts w:ascii="Selawik" w:hAnsi="Selawik"/>
          <w:color w:val="FFFFFF" w:themeColor="background1"/>
          <w:sz w:val="23"/>
          <w:szCs w:val="23"/>
        </w:rPr>
        <w:t xml:space="preserve">écologique </w:t>
      </w:r>
      <w:r w:rsidR="003E235C">
        <w:rPr>
          <w:rFonts w:ascii="Selawik" w:hAnsi="Selawik"/>
          <w:color w:val="FFFFFF" w:themeColor="background1"/>
          <w:sz w:val="23"/>
          <w:szCs w:val="23"/>
        </w:rPr>
        <w:t xml:space="preserve">qui sera </w:t>
      </w:r>
      <w:r w:rsidR="00F83FAB">
        <w:rPr>
          <w:rFonts w:ascii="Selawik" w:hAnsi="Selawik"/>
          <w:color w:val="FFFFFF" w:themeColor="background1"/>
          <w:sz w:val="23"/>
          <w:szCs w:val="23"/>
        </w:rPr>
        <w:t xml:space="preserve">porté par la commune de Sully-sur-Loire et </w:t>
      </w:r>
      <w:r w:rsidR="003E235C">
        <w:rPr>
          <w:rFonts w:ascii="Selawik" w:hAnsi="Selawik"/>
          <w:color w:val="FFFFFF" w:themeColor="background1"/>
          <w:sz w:val="23"/>
          <w:szCs w:val="23"/>
        </w:rPr>
        <w:t xml:space="preserve">qui sera </w:t>
      </w:r>
      <w:r w:rsidR="00F36452" w:rsidRPr="00F36452">
        <w:rPr>
          <w:rFonts w:ascii="Selawik" w:hAnsi="Selawik"/>
          <w:color w:val="FFFFFF" w:themeColor="background1"/>
          <w:sz w:val="23"/>
          <w:szCs w:val="23"/>
        </w:rPr>
        <w:t>destiné aux Sullylois et aux touristes.</w:t>
      </w:r>
    </w:p>
    <w:p w14:paraId="3DA2B1A9" w14:textId="77777777" w:rsidR="00443AD9" w:rsidRDefault="00443AD9">
      <w:pPr>
        <w:spacing w:after="0" w:line="240" w:lineRule="auto"/>
        <w:jc w:val="left"/>
        <w:rPr>
          <w:rFonts w:ascii="Selawik" w:hAnsi="Selawik"/>
          <w:color w:val="FFFFFF" w:themeColor="background1"/>
          <w:sz w:val="23"/>
          <w:szCs w:val="23"/>
        </w:rPr>
      </w:pPr>
      <w:r>
        <w:rPr>
          <w:rFonts w:ascii="Selawik" w:hAnsi="Selawik"/>
          <w:color w:val="FFFFFF" w:themeColor="background1"/>
          <w:sz w:val="23"/>
          <w:szCs w:val="23"/>
        </w:rPr>
        <w:br w:type="page"/>
      </w:r>
    </w:p>
    <w:p w14:paraId="1906C00D" w14:textId="62269D28" w:rsidR="00B1529B" w:rsidRPr="000B6A35" w:rsidRDefault="0023199E" w:rsidP="00EF3E04">
      <w:pPr>
        <w:pStyle w:val="Titre1"/>
      </w:pPr>
      <w:bookmarkStart w:id="21" w:name="_Toc99556091"/>
      <w:r w:rsidRPr="000B6A35">
        <w:lastRenderedPageBreak/>
        <w:t xml:space="preserve">Description </w:t>
      </w:r>
      <w:r w:rsidR="00042E49" w:rsidRPr="000B6A35">
        <w:t>du site</w:t>
      </w:r>
      <w:bookmarkEnd w:id="21"/>
    </w:p>
    <w:p w14:paraId="25ED3832" w14:textId="41BBAD57" w:rsidR="007231D5" w:rsidRDefault="007231D5" w:rsidP="00C846FC">
      <w:pPr>
        <w:pStyle w:val="Titre3"/>
        <w:numPr>
          <w:ilvl w:val="0"/>
          <w:numId w:val="31"/>
        </w:numPr>
        <w:spacing w:line="278" w:lineRule="auto"/>
      </w:pPr>
      <w:bookmarkStart w:id="22" w:name="_Toc99556092"/>
      <w:r>
        <w:t>Fiche d’identité du projet</w:t>
      </w:r>
      <w:bookmarkEnd w:id="22"/>
    </w:p>
    <w:tbl>
      <w:tblPr>
        <w:tblStyle w:val="TableauGrille6Couleur-Accentuation5"/>
        <w:tblW w:w="5681" w:type="pct"/>
        <w:tblInd w:w="-441" w:type="dxa"/>
        <w:tblLook w:val="04A0" w:firstRow="1" w:lastRow="0" w:firstColumn="1" w:lastColumn="0" w:noHBand="0" w:noVBand="1"/>
      </w:tblPr>
      <w:tblGrid>
        <w:gridCol w:w="2269"/>
        <w:gridCol w:w="8648"/>
      </w:tblGrid>
      <w:tr w:rsidR="00B60F5E" w:rsidRPr="00B933C3" w14:paraId="69C7E4B4" w14:textId="77777777" w:rsidTr="00B57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Borders>
              <w:top w:val="double" w:sz="4" w:space="0" w:color="002060"/>
              <w:left w:val="double" w:sz="4" w:space="0" w:color="002060"/>
            </w:tcBorders>
            <w:vAlign w:val="center"/>
          </w:tcPr>
          <w:p w14:paraId="0EFAE14D" w14:textId="2EDAF670" w:rsidR="00B60F5E" w:rsidRPr="00B933C3" w:rsidRDefault="00B60F5E"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Activité concernée</w:t>
            </w:r>
          </w:p>
        </w:tc>
        <w:tc>
          <w:tcPr>
            <w:tcW w:w="3961" w:type="pct"/>
            <w:tcBorders>
              <w:top w:val="double" w:sz="4" w:space="0" w:color="002060"/>
              <w:right w:val="double" w:sz="4" w:space="0" w:color="002060"/>
            </w:tcBorders>
            <w:vAlign w:val="center"/>
          </w:tcPr>
          <w:p w14:paraId="49A21336" w14:textId="7727A8B3" w:rsidR="00B60F5E" w:rsidRPr="00B933C3" w:rsidRDefault="00B60F5E" w:rsidP="00C846FC">
            <w:pPr>
              <w:spacing w:before="80" w:after="80" w:line="278" w:lineRule="auto"/>
              <w:cnfStyle w:val="100000000000" w:firstRow="1" w:lastRow="0" w:firstColumn="0" w:lastColumn="0" w:oddVBand="0" w:evenVBand="0" w:oddHBand="0" w:evenHBand="0" w:firstRowFirstColumn="0" w:firstRowLastColumn="0" w:lastRowFirstColumn="0" w:lastRowLastColumn="0"/>
              <w:rPr>
                <w:rFonts w:ascii="Selawik" w:hAnsi="Selawik"/>
                <w:b w:val="0"/>
                <w:bCs w:val="0"/>
                <w:color w:val="002060"/>
                <w:sz w:val="21"/>
                <w:szCs w:val="21"/>
              </w:rPr>
            </w:pPr>
            <w:r w:rsidRPr="00B933C3">
              <w:rPr>
                <w:rFonts w:ascii="Selawik" w:hAnsi="Selawik"/>
                <w:b w:val="0"/>
                <w:bCs w:val="0"/>
                <w:color w:val="002060"/>
                <w:sz w:val="21"/>
                <w:szCs w:val="21"/>
              </w:rPr>
              <w:t>Exploitation de carrière alluvionnaire</w:t>
            </w:r>
          </w:p>
        </w:tc>
      </w:tr>
      <w:tr w:rsidR="00EF1EFD" w:rsidRPr="00B933C3" w14:paraId="23430ECC" w14:textId="77777777" w:rsidTr="00B5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Borders>
              <w:left w:val="double" w:sz="4" w:space="0" w:color="002060"/>
            </w:tcBorders>
            <w:vAlign w:val="center"/>
          </w:tcPr>
          <w:p w14:paraId="7BA5AD3A" w14:textId="26A57B05" w:rsidR="00EF1EFD" w:rsidRPr="00B933C3" w:rsidRDefault="00EF1EFD"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Objet du projet</w:t>
            </w:r>
          </w:p>
        </w:tc>
        <w:tc>
          <w:tcPr>
            <w:tcW w:w="3961" w:type="pct"/>
            <w:tcBorders>
              <w:right w:val="double" w:sz="4" w:space="0" w:color="002060"/>
            </w:tcBorders>
            <w:vAlign w:val="center"/>
          </w:tcPr>
          <w:p w14:paraId="1DF38BB3" w14:textId="1711DA65" w:rsidR="00EF1EFD" w:rsidRPr="00B933C3" w:rsidRDefault="00EF1EFD" w:rsidP="00C846FC">
            <w:pPr>
              <w:spacing w:before="80" w:after="80" w:line="278" w:lineRule="auto"/>
              <w:cnfStyle w:val="000000100000" w:firstRow="0" w:lastRow="0" w:firstColumn="0" w:lastColumn="0" w:oddVBand="0" w:evenVBand="0" w:oddHBand="1" w:evenHBand="0" w:firstRowFirstColumn="0" w:firstRowLastColumn="0" w:lastRowFirstColumn="0" w:lastRowLastColumn="0"/>
              <w:rPr>
                <w:rFonts w:ascii="Selawik" w:hAnsi="Selawik"/>
                <w:b/>
                <w:color w:val="002060"/>
                <w:sz w:val="21"/>
                <w:szCs w:val="21"/>
              </w:rPr>
            </w:pPr>
            <w:r w:rsidRPr="00B933C3">
              <w:rPr>
                <w:rFonts w:ascii="Selawik" w:hAnsi="Selawik"/>
                <w:color w:val="002060"/>
                <w:sz w:val="21"/>
                <w:szCs w:val="21"/>
              </w:rPr>
              <w:t>Renouvellement et extension de la carrière existante de Sully-sur-Loire. La durée d’extraction est de 19ans (et 5ans de remise en état) soit 24</w:t>
            </w:r>
            <w:r w:rsidR="00AB51F1">
              <w:rPr>
                <w:rFonts w:ascii="Selawik" w:hAnsi="Selawik"/>
                <w:color w:val="002060"/>
                <w:sz w:val="21"/>
                <w:szCs w:val="21"/>
              </w:rPr>
              <w:t xml:space="preserve"> </w:t>
            </w:r>
            <w:r w:rsidRPr="00B933C3">
              <w:rPr>
                <w:rFonts w:ascii="Selawik" w:hAnsi="Selawik"/>
                <w:color w:val="002060"/>
                <w:sz w:val="21"/>
                <w:szCs w:val="21"/>
              </w:rPr>
              <w:t>ans</w:t>
            </w:r>
          </w:p>
        </w:tc>
      </w:tr>
      <w:tr w:rsidR="00570679" w:rsidRPr="00B933C3" w14:paraId="596582AF" w14:textId="77777777" w:rsidTr="00B57A3C">
        <w:tc>
          <w:tcPr>
            <w:cnfStyle w:val="001000000000" w:firstRow="0" w:lastRow="0" w:firstColumn="1" w:lastColumn="0" w:oddVBand="0" w:evenVBand="0" w:oddHBand="0" w:evenHBand="0" w:firstRowFirstColumn="0" w:firstRowLastColumn="0" w:lastRowFirstColumn="0" w:lastRowLastColumn="0"/>
            <w:tcW w:w="1039" w:type="pct"/>
            <w:tcBorders>
              <w:left w:val="double" w:sz="4" w:space="0" w:color="002060"/>
            </w:tcBorders>
            <w:vAlign w:val="center"/>
          </w:tcPr>
          <w:p w14:paraId="32A4D2F0" w14:textId="2DCE1C78" w:rsidR="00570679" w:rsidRPr="00B933C3" w:rsidRDefault="00570679"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Portage</w:t>
            </w:r>
          </w:p>
        </w:tc>
        <w:tc>
          <w:tcPr>
            <w:tcW w:w="3961" w:type="pct"/>
            <w:tcBorders>
              <w:right w:val="double" w:sz="4" w:space="0" w:color="002060"/>
            </w:tcBorders>
            <w:vAlign w:val="center"/>
          </w:tcPr>
          <w:p w14:paraId="783D0E96" w14:textId="5726F1FF" w:rsidR="00570679" w:rsidRPr="00B933C3" w:rsidRDefault="00570679" w:rsidP="00C846FC">
            <w:p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EQIOM Granulats</w:t>
            </w:r>
          </w:p>
        </w:tc>
      </w:tr>
      <w:tr w:rsidR="00570679" w:rsidRPr="00B933C3" w14:paraId="5EEEC24A" w14:textId="77777777" w:rsidTr="00B5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Borders>
              <w:left w:val="double" w:sz="4" w:space="0" w:color="002060"/>
              <w:bottom w:val="double" w:sz="4" w:space="0" w:color="002060"/>
            </w:tcBorders>
            <w:vAlign w:val="center"/>
          </w:tcPr>
          <w:p w14:paraId="202B8929" w14:textId="0C1EABA4" w:rsidR="00570679" w:rsidRPr="00B933C3" w:rsidRDefault="00570679"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Maitrise foncière</w:t>
            </w:r>
          </w:p>
        </w:tc>
        <w:tc>
          <w:tcPr>
            <w:tcW w:w="3961" w:type="pct"/>
            <w:tcBorders>
              <w:bottom w:val="double" w:sz="4" w:space="0" w:color="002060"/>
              <w:right w:val="double" w:sz="4" w:space="0" w:color="002060"/>
            </w:tcBorders>
            <w:vAlign w:val="center"/>
          </w:tcPr>
          <w:p w14:paraId="4139BC04" w14:textId="132BE95A" w:rsidR="00570679" w:rsidRPr="00B933C3" w:rsidRDefault="0014797E" w:rsidP="00C846FC">
            <w:pPr>
              <w:spacing w:before="80" w:after="80" w:line="278" w:lineRule="auto"/>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Pr>
                <w:rFonts w:ascii="Selawik" w:hAnsi="Selawik"/>
                <w:color w:val="002060"/>
                <w:sz w:val="21"/>
                <w:szCs w:val="21"/>
              </w:rPr>
              <w:t>T</w:t>
            </w:r>
            <w:r w:rsidRPr="0014797E">
              <w:rPr>
                <w:rFonts w:ascii="Selawik" w:hAnsi="Selawik"/>
                <w:color w:val="002060"/>
                <w:sz w:val="21"/>
                <w:szCs w:val="21"/>
              </w:rPr>
              <w:t xml:space="preserve">errains en propriété et terrains en foretage </w:t>
            </w:r>
            <w:r>
              <w:rPr>
                <w:rFonts w:ascii="Selawik" w:hAnsi="Selawik"/>
                <w:color w:val="002060"/>
                <w:sz w:val="21"/>
                <w:szCs w:val="21"/>
              </w:rPr>
              <w:t xml:space="preserve">par </w:t>
            </w:r>
            <w:r w:rsidR="00570679" w:rsidRPr="00B933C3">
              <w:rPr>
                <w:rFonts w:ascii="Selawik" w:hAnsi="Selawik"/>
                <w:color w:val="002060"/>
                <w:sz w:val="21"/>
                <w:szCs w:val="21"/>
              </w:rPr>
              <w:t>EQIOM Granulats</w:t>
            </w:r>
          </w:p>
        </w:tc>
      </w:tr>
      <w:tr w:rsidR="00C46B4D" w:rsidRPr="00B933C3" w14:paraId="1112F844" w14:textId="77777777" w:rsidTr="00B57A3C">
        <w:tc>
          <w:tcPr>
            <w:cnfStyle w:val="001000000000" w:firstRow="0" w:lastRow="0" w:firstColumn="1" w:lastColumn="0" w:oddVBand="0" w:evenVBand="0" w:oddHBand="0" w:evenHBand="0" w:firstRowFirstColumn="0" w:firstRowLastColumn="0" w:lastRowFirstColumn="0" w:lastRowLastColumn="0"/>
            <w:tcW w:w="1039" w:type="pct"/>
            <w:tcBorders>
              <w:top w:val="double" w:sz="4" w:space="0" w:color="002060"/>
              <w:left w:val="double" w:sz="4" w:space="0" w:color="002060"/>
            </w:tcBorders>
            <w:vAlign w:val="center"/>
          </w:tcPr>
          <w:p w14:paraId="0FE47510" w14:textId="77777777" w:rsidR="00570679" w:rsidRPr="00B933C3" w:rsidRDefault="00570679" w:rsidP="00C846FC">
            <w:pPr>
              <w:spacing w:before="80" w:after="80" w:line="278" w:lineRule="auto"/>
              <w:jc w:val="center"/>
              <w:rPr>
                <w:rFonts w:ascii="Selawik" w:hAnsi="Selawik"/>
                <w:b w:val="0"/>
                <w:bCs w:val="0"/>
                <w:color w:val="002060"/>
                <w:sz w:val="21"/>
                <w:szCs w:val="21"/>
              </w:rPr>
            </w:pPr>
            <w:r w:rsidRPr="00B933C3">
              <w:rPr>
                <w:rFonts w:ascii="Selawik" w:hAnsi="Selawik"/>
                <w:color w:val="002060"/>
                <w:sz w:val="21"/>
                <w:szCs w:val="21"/>
              </w:rPr>
              <w:t>Surface demandée</w:t>
            </w:r>
          </w:p>
          <w:p w14:paraId="5E9B677F" w14:textId="0CE387FC" w:rsidR="00570679" w:rsidRPr="00B933C3" w:rsidRDefault="00570679" w:rsidP="00C846FC">
            <w:pPr>
              <w:spacing w:before="80" w:after="8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(extension + renouvellement)</w:t>
            </w:r>
          </w:p>
        </w:tc>
        <w:tc>
          <w:tcPr>
            <w:tcW w:w="3961" w:type="pct"/>
            <w:tcBorders>
              <w:top w:val="double" w:sz="4" w:space="0" w:color="002060"/>
              <w:right w:val="double" w:sz="4" w:space="0" w:color="002060"/>
            </w:tcBorders>
            <w:vAlign w:val="center"/>
          </w:tcPr>
          <w:p w14:paraId="4C7C7B31" w14:textId="4054159F" w:rsidR="00570679" w:rsidRPr="00B933C3" w:rsidRDefault="00570679" w:rsidP="00C846FC">
            <w:p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80 ha 48 a 33 ca dont 35 ha 6</w:t>
            </w:r>
            <w:r w:rsidR="006C0F1D" w:rsidRPr="00B933C3">
              <w:rPr>
                <w:rFonts w:ascii="Selawik" w:hAnsi="Selawik"/>
                <w:color w:val="002060"/>
                <w:sz w:val="21"/>
                <w:szCs w:val="21"/>
              </w:rPr>
              <w:t>3</w:t>
            </w:r>
            <w:r w:rsidRPr="00B933C3">
              <w:rPr>
                <w:rFonts w:ascii="Selawik" w:hAnsi="Selawik"/>
                <w:color w:val="002060"/>
                <w:sz w:val="21"/>
                <w:szCs w:val="21"/>
              </w:rPr>
              <w:t xml:space="preserve"> a 8</w:t>
            </w:r>
            <w:r w:rsidR="006C0F1D" w:rsidRPr="00B933C3">
              <w:rPr>
                <w:rFonts w:ascii="Selawik" w:hAnsi="Selawik"/>
                <w:color w:val="002060"/>
                <w:sz w:val="21"/>
                <w:szCs w:val="21"/>
              </w:rPr>
              <w:t>9</w:t>
            </w:r>
            <w:r w:rsidRPr="00B933C3">
              <w:rPr>
                <w:rFonts w:ascii="Selawik" w:hAnsi="Selawik"/>
                <w:color w:val="002060"/>
                <w:sz w:val="21"/>
                <w:szCs w:val="21"/>
              </w:rPr>
              <w:t xml:space="preserve"> ca en extension. </w:t>
            </w:r>
          </w:p>
          <w:p w14:paraId="0ADE669B" w14:textId="766F40F0" w:rsidR="00570679" w:rsidRPr="00B933C3" w:rsidRDefault="00570679" w:rsidP="00C846FC">
            <w:p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19,9 ha sur 35.6 ha sont des espaces agricoles (le reste en bois)</w:t>
            </w:r>
          </w:p>
        </w:tc>
      </w:tr>
      <w:tr w:rsidR="006C0F1D" w:rsidRPr="00B933C3" w14:paraId="07B36015" w14:textId="77777777" w:rsidTr="00B5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Borders>
              <w:top w:val="double" w:sz="4" w:space="0" w:color="002060"/>
              <w:left w:val="double" w:sz="4" w:space="0" w:color="002060"/>
            </w:tcBorders>
            <w:vAlign w:val="center"/>
          </w:tcPr>
          <w:p w14:paraId="72CD7024" w14:textId="0249F12D" w:rsidR="006C0F1D" w:rsidRPr="00B933C3" w:rsidRDefault="006C0F1D"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Surface exploitable</w:t>
            </w:r>
          </w:p>
        </w:tc>
        <w:tc>
          <w:tcPr>
            <w:tcW w:w="3961" w:type="pct"/>
            <w:tcBorders>
              <w:top w:val="double" w:sz="4" w:space="0" w:color="002060"/>
              <w:right w:val="double" w:sz="4" w:space="0" w:color="002060"/>
            </w:tcBorders>
            <w:vAlign w:val="center"/>
          </w:tcPr>
          <w:p w14:paraId="4E5400E6" w14:textId="505CBE6E" w:rsidR="006C0F1D" w:rsidRPr="00B933C3" w:rsidRDefault="006C0F1D" w:rsidP="00C846FC">
            <w:pPr>
              <w:spacing w:before="80" w:after="80" w:line="278" w:lineRule="auto"/>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75 ha 20 a 65 ca</w:t>
            </w:r>
          </w:p>
        </w:tc>
      </w:tr>
      <w:tr w:rsidR="006C0F1D" w:rsidRPr="00B933C3" w14:paraId="08804775" w14:textId="77777777" w:rsidTr="00B57A3C">
        <w:tc>
          <w:tcPr>
            <w:cnfStyle w:val="001000000000" w:firstRow="0" w:lastRow="0" w:firstColumn="1" w:lastColumn="0" w:oddVBand="0" w:evenVBand="0" w:oddHBand="0" w:evenHBand="0" w:firstRowFirstColumn="0" w:firstRowLastColumn="0" w:lastRowFirstColumn="0" w:lastRowLastColumn="0"/>
            <w:tcW w:w="1039" w:type="pct"/>
            <w:tcBorders>
              <w:top w:val="double" w:sz="4" w:space="0" w:color="002060"/>
              <w:left w:val="double" w:sz="4" w:space="0" w:color="002060"/>
            </w:tcBorders>
            <w:vAlign w:val="center"/>
          </w:tcPr>
          <w:p w14:paraId="6987ECAD" w14:textId="02348B0E" w:rsidR="006C0F1D" w:rsidRPr="00B933C3" w:rsidRDefault="006C0F1D"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 xml:space="preserve">Surface en renouvellement </w:t>
            </w:r>
            <w:r w:rsidR="00AB51F1">
              <w:rPr>
                <w:rFonts w:ascii="Selawik" w:hAnsi="Selawik"/>
                <w:color w:val="002060"/>
                <w:sz w:val="21"/>
                <w:szCs w:val="21"/>
              </w:rPr>
              <w:t>partiel</w:t>
            </w:r>
          </w:p>
        </w:tc>
        <w:tc>
          <w:tcPr>
            <w:tcW w:w="3961" w:type="pct"/>
            <w:tcBorders>
              <w:top w:val="double" w:sz="4" w:space="0" w:color="002060"/>
              <w:right w:val="double" w:sz="4" w:space="0" w:color="002060"/>
            </w:tcBorders>
            <w:vAlign w:val="center"/>
          </w:tcPr>
          <w:p w14:paraId="1E8FAA2D" w14:textId="18327744" w:rsidR="006C0F1D" w:rsidRPr="00B933C3" w:rsidRDefault="006C0F1D" w:rsidP="00C846FC">
            <w:p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44 ha 84 a 44 ca</w:t>
            </w:r>
          </w:p>
        </w:tc>
      </w:tr>
      <w:tr w:rsidR="006C0F1D" w:rsidRPr="00B933C3" w14:paraId="76D06775" w14:textId="77777777" w:rsidTr="00B5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Borders>
              <w:left w:val="double" w:sz="4" w:space="0" w:color="002060"/>
            </w:tcBorders>
            <w:vAlign w:val="center"/>
          </w:tcPr>
          <w:p w14:paraId="5BF2E17A" w14:textId="4E08125A" w:rsidR="006C0F1D" w:rsidRPr="00B933C3" w:rsidRDefault="006C0F1D"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Surface à défricher</w:t>
            </w:r>
          </w:p>
        </w:tc>
        <w:tc>
          <w:tcPr>
            <w:tcW w:w="3961" w:type="pct"/>
            <w:tcBorders>
              <w:right w:val="double" w:sz="4" w:space="0" w:color="002060"/>
            </w:tcBorders>
            <w:vAlign w:val="center"/>
          </w:tcPr>
          <w:p w14:paraId="0FC0E9A7" w14:textId="24322CD2" w:rsidR="006C0F1D" w:rsidRPr="00B933C3" w:rsidRDefault="006C0F1D" w:rsidP="00C846FC">
            <w:pPr>
              <w:spacing w:before="80" w:after="80" w:line="278" w:lineRule="auto"/>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13 ha 76 a 45 ca</w:t>
            </w:r>
          </w:p>
        </w:tc>
      </w:tr>
      <w:tr w:rsidR="006C0F1D" w:rsidRPr="00B933C3" w14:paraId="59EC8913" w14:textId="77777777" w:rsidTr="00B57A3C">
        <w:tc>
          <w:tcPr>
            <w:cnfStyle w:val="001000000000" w:firstRow="0" w:lastRow="0" w:firstColumn="1" w:lastColumn="0" w:oddVBand="0" w:evenVBand="0" w:oddHBand="0" w:evenHBand="0" w:firstRowFirstColumn="0" w:firstRowLastColumn="0" w:lastRowFirstColumn="0" w:lastRowLastColumn="0"/>
            <w:tcW w:w="1039" w:type="pct"/>
            <w:tcBorders>
              <w:left w:val="double" w:sz="4" w:space="0" w:color="002060"/>
              <w:bottom w:val="double" w:sz="4" w:space="0" w:color="002060"/>
            </w:tcBorders>
            <w:vAlign w:val="center"/>
          </w:tcPr>
          <w:p w14:paraId="4068BAF2" w14:textId="77777777" w:rsidR="006C0F1D" w:rsidRPr="00B933C3" w:rsidRDefault="006C0F1D"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Surface totale des</w:t>
            </w:r>
          </w:p>
          <w:p w14:paraId="082CA5B4" w14:textId="0CD8B022" w:rsidR="006C0F1D" w:rsidRPr="00B933C3" w:rsidRDefault="006C0F1D"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plans d’eau</w:t>
            </w:r>
          </w:p>
        </w:tc>
        <w:tc>
          <w:tcPr>
            <w:tcW w:w="3961" w:type="pct"/>
            <w:tcBorders>
              <w:bottom w:val="double" w:sz="4" w:space="0" w:color="002060"/>
              <w:right w:val="double" w:sz="4" w:space="0" w:color="002060"/>
            </w:tcBorders>
            <w:vAlign w:val="center"/>
          </w:tcPr>
          <w:p w14:paraId="2BD558A7" w14:textId="42680116" w:rsidR="006C0F1D" w:rsidRPr="00B57A3C" w:rsidRDefault="006C0F1D" w:rsidP="00B57A3C">
            <w:pPr>
              <w:pStyle w:val="Paragraphedeliste"/>
              <w:numPr>
                <w:ilvl w:val="0"/>
                <w:numId w:val="39"/>
              </w:num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57A3C">
              <w:rPr>
                <w:rFonts w:ascii="Selawik" w:hAnsi="Selawik"/>
                <w:color w:val="002060"/>
                <w:sz w:val="21"/>
                <w:szCs w:val="21"/>
              </w:rPr>
              <w:t>plans d’eau :</w:t>
            </w:r>
            <w:r w:rsidR="00B57A3C" w:rsidRPr="00B57A3C">
              <w:rPr>
                <w:rFonts w:ascii="Selawik" w:hAnsi="Selawik"/>
                <w:color w:val="002060"/>
                <w:sz w:val="21"/>
                <w:szCs w:val="21"/>
              </w:rPr>
              <w:t xml:space="preserve"> </w:t>
            </w:r>
            <w:r w:rsidRPr="00B57A3C">
              <w:rPr>
                <w:rFonts w:ascii="Selawik" w:hAnsi="Selawik"/>
                <w:color w:val="002060"/>
                <w:sz w:val="21"/>
                <w:szCs w:val="21"/>
              </w:rPr>
              <w:t>Petit plan d’eau au Nord-Est : 7,66 ha</w:t>
            </w:r>
            <w:r w:rsidR="00B57A3C">
              <w:rPr>
                <w:rFonts w:ascii="Selawik" w:hAnsi="Selawik"/>
                <w:color w:val="002060"/>
                <w:sz w:val="21"/>
                <w:szCs w:val="21"/>
              </w:rPr>
              <w:t xml:space="preserve"> + </w:t>
            </w:r>
            <w:r w:rsidRPr="00B57A3C">
              <w:rPr>
                <w:rFonts w:ascii="Selawik" w:hAnsi="Selawik"/>
                <w:color w:val="002060"/>
                <w:sz w:val="21"/>
                <w:szCs w:val="21"/>
              </w:rPr>
              <w:t>Grand plan d’eau en renouvellement + extension : 40,12 ha</w:t>
            </w:r>
          </w:p>
          <w:p w14:paraId="33DDAAC1" w14:textId="32B6C95F" w:rsidR="006C0F1D" w:rsidRPr="00B933C3" w:rsidRDefault="006C0F1D" w:rsidP="00C846FC">
            <w:p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Superficie totale de 47,78 ha</w:t>
            </w:r>
          </w:p>
        </w:tc>
      </w:tr>
      <w:tr w:rsidR="006C0F1D" w:rsidRPr="00B933C3" w14:paraId="1FBB5338" w14:textId="77777777" w:rsidTr="00B5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Borders>
              <w:left w:val="double" w:sz="4" w:space="0" w:color="002060"/>
              <w:bottom w:val="single" w:sz="4" w:space="0" w:color="8EAADB" w:themeColor="accent5" w:themeTint="99"/>
            </w:tcBorders>
            <w:vAlign w:val="center"/>
          </w:tcPr>
          <w:p w14:paraId="49DDBA94" w14:textId="002963A2" w:rsidR="006C0F1D" w:rsidRPr="00B933C3" w:rsidRDefault="006C0F1D"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Rythmes d’extraction et de production</w:t>
            </w:r>
          </w:p>
        </w:tc>
        <w:tc>
          <w:tcPr>
            <w:tcW w:w="3961" w:type="pct"/>
            <w:tcBorders>
              <w:bottom w:val="single" w:sz="4" w:space="0" w:color="8EAADB" w:themeColor="accent5" w:themeTint="99"/>
              <w:right w:val="double" w:sz="4" w:space="0" w:color="002060"/>
            </w:tcBorders>
            <w:vAlign w:val="center"/>
          </w:tcPr>
          <w:p w14:paraId="79AAD7E3" w14:textId="1068C970" w:rsidR="006C0F1D" w:rsidRPr="00B933C3" w:rsidRDefault="006C0F1D" w:rsidP="00C846FC">
            <w:pPr>
              <w:spacing w:before="80" w:after="80" w:line="278" w:lineRule="auto"/>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Tonnage maximum extrait par an : 350 000 tonnes de matériaux alluvionnaires (sables et graviers)</w:t>
            </w:r>
          </w:p>
          <w:p w14:paraId="1D33D2CD" w14:textId="77777777" w:rsidR="006C0F1D" w:rsidRPr="00B933C3" w:rsidRDefault="006C0F1D" w:rsidP="00C846FC">
            <w:pPr>
              <w:spacing w:before="80" w:after="80" w:line="278" w:lineRule="auto"/>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Tonnage produit maximum par an : 450 000 tonnes (avec recyclage de matériaux inertes et apport de sablons et calcaires d’autres carrières pour économiser la ressource alluvionnaire)</w:t>
            </w:r>
          </w:p>
          <w:p w14:paraId="5A4B8F0A" w14:textId="4B05C2A2" w:rsidR="006C0F1D" w:rsidRPr="00B933C3" w:rsidRDefault="006C0F1D" w:rsidP="00C846FC">
            <w:pPr>
              <w:spacing w:before="80" w:after="80" w:line="278" w:lineRule="auto"/>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Extraction moyenne de 250</w:t>
            </w:r>
            <w:r w:rsidRPr="00B933C3">
              <w:rPr>
                <w:rFonts w:ascii="Calibri" w:hAnsi="Calibri" w:cs="Calibri"/>
                <w:color w:val="002060"/>
                <w:sz w:val="21"/>
                <w:szCs w:val="21"/>
              </w:rPr>
              <w:t> </w:t>
            </w:r>
            <w:r w:rsidR="0014797E">
              <w:rPr>
                <w:rFonts w:ascii="Selawik" w:hAnsi="Selawik"/>
                <w:color w:val="002060"/>
                <w:sz w:val="21"/>
                <w:szCs w:val="21"/>
              </w:rPr>
              <w:t>000 tonnes/an tous</w:t>
            </w:r>
            <w:r w:rsidRPr="00B933C3">
              <w:rPr>
                <w:rFonts w:ascii="Selawik" w:hAnsi="Selawik"/>
                <w:color w:val="002060"/>
                <w:sz w:val="21"/>
                <w:szCs w:val="21"/>
              </w:rPr>
              <w:t xml:space="preserve"> matériaux confondus</w:t>
            </w:r>
          </w:p>
        </w:tc>
      </w:tr>
      <w:tr w:rsidR="006C0F1D" w:rsidRPr="00B933C3" w14:paraId="2456FE6D" w14:textId="77777777" w:rsidTr="00B57A3C">
        <w:tc>
          <w:tcPr>
            <w:cnfStyle w:val="001000000000" w:firstRow="0" w:lastRow="0" w:firstColumn="1" w:lastColumn="0" w:oddVBand="0" w:evenVBand="0" w:oddHBand="0" w:evenHBand="0" w:firstRowFirstColumn="0" w:firstRowLastColumn="0" w:lastRowFirstColumn="0" w:lastRowLastColumn="0"/>
            <w:tcW w:w="1039" w:type="pct"/>
            <w:tcBorders>
              <w:left w:val="double" w:sz="4" w:space="0" w:color="002060"/>
            </w:tcBorders>
            <w:vAlign w:val="center"/>
          </w:tcPr>
          <w:p w14:paraId="64EFA465" w14:textId="26F0ECA3" w:rsidR="006C0F1D" w:rsidRPr="00B933C3" w:rsidRDefault="006C0F1D"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Documents disponibles</w:t>
            </w:r>
          </w:p>
        </w:tc>
        <w:tc>
          <w:tcPr>
            <w:tcW w:w="3961" w:type="pct"/>
            <w:tcBorders>
              <w:right w:val="double" w:sz="4" w:space="0" w:color="002060"/>
            </w:tcBorders>
            <w:vAlign w:val="center"/>
          </w:tcPr>
          <w:p w14:paraId="06C83ADC" w14:textId="77777777" w:rsidR="006C0F1D" w:rsidRPr="00B933C3" w:rsidRDefault="006C0F1D" w:rsidP="00C846FC">
            <w:p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PLU de Sully-sur-Loire</w:t>
            </w:r>
          </w:p>
          <w:p w14:paraId="5882933A" w14:textId="0199C340" w:rsidR="006C0F1D" w:rsidRPr="00B933C3" w:rsidRDefault="006C0F1D" w:rsidP="00C846FC">
            <w:p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SCoT du PETR Forêt d’Orléans Loire Sologne</w:t>
            </w:r>
          </w:p>
        </w:tc>
      </w:tr>
      <w:tr w:rsidR="006C0F1D" w:rsidRPr="00B933C3" w14:paraId="5A9F77C2" w14:textId="77777777" w:rsidTr="00B5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pct"/>
            <w:tcBorders>
              <w:left w:val="double" w:sz="4" w:space="0" w:color="002060"/>
            </w:tcBorders>
            <w:vAlign w:val="center"/>
          </w:tcPr>
          <w:p w14:paraId="2D9DE217" w14:textId="05FCFB31" w:rsidR="006C0F1D" w:rsidRPr="00B933C3" w:rsidRDefault="006C0F1D"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Autres procédures en cours</w:t>
            </w:r>
          </w:p>
        </w:tc>
        <w:tc>
          <w:tcPr>
            <w:tcW w:w="3961" w:type="pct"/>
            <w:tcBorders>
              <w:right w:val="double" w:sz="4" w:space="0" w:color="002060"/>
            </w:tcBorders>
            <w:vAlign w:val="center"/>
          </w:tcPr>
          <w:p w14:paraId="2BCB579F" w14:textId="2A7D6929" w:rsidR="006C0F1D" w:rsidRPr="00B933C3" w:rsidRDefault="006C0F1D" w:rsidP="00C846FC">
            <w:pPr>
              <w:spacing w:before="80" w:after="80" w:line="278" w:lineRule="auto"/>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Installations classées pour la protection de l’environnement (rubriques 2510-1, 2515-1, 2517)</w:t>
            </w:r>
          </w:p>
          <w:p w14:paraId="1CF769B8" w14:textId="07EE8C74" w:rsidR="006C0F1D" w:rsidRPr="00B933C3" w:rsidRDefault="006C0F1D" w:rsidP="00C846FC">
            <w:pPr>
              <w:spacing w:before="80" w:after="80" w:line="278" w:lineRule="auto"/>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Loi sur l’Eau (rubriques 1.2.2.0, 2.1.5.0-1, 2.3.1.0, 3.1.2.0-1, 3.2.3.0-1, 1.1.1.0, 3.3.5.0)</w:t>
            </w:r>
          </w:p>
        </w:tc>
      </w:tr>
      <w:tr w:rsidR="006C0F1D" w:rsidRPr="00B933C3" w14:paraId="45D3B8D1" w14:textId="77777777" w:rsidTr="00B57A3C">
        <w:tc>
          <w:tcPr>
            <w:cnfStyle w:val="001000000000" w:firstRow="0" w:lastRow="0" w:firstColumn="1" w:lastColumn="0" w:oddVBand="0" w:evenVBand="0" w:oddHBand="0" w:evenHBand="0" w:firstRowFirstColumn="0" w:firstRowLastColumn="0" w:lastRowFirstColumn="0" w:lastRowLastColumn="0"/>
            <w:tcW w:w="1039" w:type="pct"/>
            <w:tcBorders>
              <w:left w:val="double" w:sz="4" w:space="0" w:color="002060"/>
              <w:bottom w:val="double" w:sz="4" w:space="0" w:color="002060"/>
            </w:tcBorders>
            <w:vAlign w:val="center"/>
          </w:tcPr>
          <w:p w14:paraId="6C4341BE" w14:textId="7C01DFF2" w:rsidR="006C0F1D" w:rsidRPr="00B933C3" w:rsidRDefault="006C0F1D" w:rsidP="00C846FC">
            <w:pPr>
              <w:spacing w:before="80" w:after="80" w:line="278" w:lineRule="auto"/>
              <w:jc w:val="center"/>
              <w:rPr>
                <w:rFonts w:ascii="Selawik" w:hAnsi="Selawik"/>
                <w:color w:val="002060"/>
                <w:sz w:val="21"/>
                <w:szCs w:val="21"/>
              </w:rPr>
            </w:pPr>
            <w:r w:rsidRPr="00B933C3">
              <w:rPr>
                <w:rFonts w:ascii="Selawik" w:hAnsi="Selawik"/>
                <w:color w:val="002060"/>
                <w:sz w:val="21"/>
                <w:szCs w:val="21"/>
              </w:rPr>
              <w:t>Historique et justification du projet</w:t>
            </w:r>
          </w:p>
        </w:tc>
        <w:tc>
          <w:tcPr>
            <w:tcW w:w="3961" w:type="pct"/>
            <w:tcBorders>
              <w:bottom w:val="double" w:sz="4" w:space="0" w:color="002060"/>
              <w:right w:val="double" w:sz="4" w:space="0" w:color="002060"/>
            </w:tcBorders>
            <w:vAlign w:val="center"/>
          </w:tcPr>
          <w:p w14:paraId="5EF7D9B2" w14:textId="0B02661F" w:rsidR="006C0F1D" w:rsidRPr="00B933C3" w:rsidRDefault="006C0F1D" w:rsidP="00C846FC">
            <w:p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 xml:space="preserve"> Granulats est autorisée depuis de nombreuses années à exploiter cette carrière (cf. arrêté préfectoral).</w:t>
            </w:r>
          </w:p>
          <w:p w14:paraId="4A391913" w14:textId="2E4317E1" w:rsidR="006C0F1D" w:rsidRPr="00B933C3" w:rsidRDefault="006C0F1D" w:rsidP="00C846FC">
            <w:p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Un gisement présent en quantité et de bonne qualité : d’après le Schéma Régional des Carrières (SRC du Centre-</w:t>
            </w:r>
          </w:p>
          <w:p w14:paraId="6B3E085D" w14:textId="65593BEA" w:rsidR="006C0F1D" w:rsidRPr="00B933C3" w:rsidRDefault="006C0F1D" w:rsidP="00C846FC">
            <w:pPr>
              <w:spacing w:before="80" w:after="80" w:line="278" w:lineRule="auto"/>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Val de Loire), la zone du projet correspond à une zone de gisement d’intérêt régional pour le BTP, pour sa ressource alluvionnaire.</w:t>
            </w:r>
          </w:p>
        </w:tc>
      </w:tr>
    </w:tbl>
    <w:p w14:paraId="02FD5E98" w14:textId="69BDEDBE" w:rsidR="007231D5" w:rsidRPr="00EF1EFD" w:rsidRDefault="000A23C8" w:rsidP="00C846FC">
      <w:pPr>
        <w:spacing w:line="278" w:lineRule="auto"/>
        <w:rPr>
          <w:rFonts w:ascii="Selawik" w:hAnsi="Selawik"/>
          <w:sz w:val="22"/>
          <w:szCs w:val="23"/>
        </w:rPr>
      </w:pPr>
      <w:r w:rsidRPr="007231D5">
        <w:rPr>
          <w:noProof/>
          <w:lang w:eastAsia="fr-FR"/>
        </w:rPr>
        <w:lastRenderedPageBreak/>
        <w:drawing>
          <wp:anchor distT="0" distB="0" distL="114300" distR="114300" simplePos="0" relativeHeight="252145664" behindDoc="0" locked="0" layoutInCell="1" allowOverlap="1" wp14:anchorId="002A32CA" wp14:editId="44E3D635">
            <wp:simplePos x="0" y="0"/>
            <wp:positionH relativeFrom="margin">
              <wp:posOffset>-1270</wp:posOffset>
            </wp:positionH>
            <wp:positionV relativeFrom="paragraph">
              <wp:posOffset>0</wp:posOffset>
            </wp:positionV>
            <wp:extent cx="6120000" cy="4232389"/>
            <wp:effectExtent l="0" t="0" r="0" b="0"/>
            <wp:wrapTopAndBottom/>
            <wp:docPr id="59" name="Image 59" descr="C:\Users\chris\Documents\00 TRAVAIL\1 - MISSION EN COURS\U 21 08 MECDU PLU SULLY EQIOM 45\01 DOSSIER\SUPPORT\périmètre d'ext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ocuments\00 TRAVAIL\1 - MISSION EN COURS\U 21 08 MECDU PLU SULLY EQIOM 45\01 DOSSIER\SUPPORT\périmètre d'extension.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6120000" cy="4232389"/>
                    </a:xfrm>
                    <a:prstGeom prst="rect">
                      <a:avLst/>
                    </a:prstGeom>
                    <a:noFill/>
                    <a:ln>
                      <a:noFill/>
                    </a:ln>
                  </pic:spPr>
                </pic:pic>
              </a:graphicData>
            </a:graphic>
            <wp14:sizeRelH relativeFrom="page">
              <wp14:pctWidth>0</wp14:pctWidth>
            </wp14:sizeRelH>
            <wp14:sizeRelV relativeFrom="page">
              <wp14:pctHeight>0</wp14:pctHeight>
            </wp14:sizeRelV>
          </wp:anchor>
        </w:drawing>
      </w:r>
      <w:r w:rsidR="007231D5" w:rsidRPr="00EF1EFD">
        <w:rPr>
          <w:rFonts w:ascii="Selawik" w:hAnsi="Selawik"/>
          <w:sz w:val="22"/>
          <w:szCs w:val="23"/>
        </w:rPr>
        <w:t>Source</w:t>
      </w:r>
      <w:r w:rsidR="007231D5" w:rsidRPr="00EF1EFD">
        <w:rPr>
          <w:rFonts w:ascii="Calibri" w:hAnsi="Calibri" w:cs="Calibri"/>
          <w:sz w:val="22"/>
          <w:szCs w:val="23"/>
        </w:rPr>
        <w:t> </w:t>
      </w:r>
      <w:r w:rsidR="007231D5" w:rsidRPr="00EF1EFD">
        <w:rPr>
          <w:rFonts w:ascii="Selawik" w:hAnsi="Selawik"/>
          <w:sz w:val="22"/>
          <w:szCs w:val="23"/>
        </w:rPr>
        <w:t>: Géo+Environnement &amp; EQIOM</w:t>
      </w:r>
      <w:r w:rsidR="00EF1EFD" w:rsidRPr="00EF1EFD">
        <w:rPr>
          <w:rFonts w:ascii="Selawik" w:hAnsi="Selawik"/>
          <w:sz w:val="22"/>
          <w:szCs w:val="23"/>
        </w:rPr>
        <w:t xml:space="preserve"> - Dossier de demande d’Autorisation Environnementale</w:t>
      </w:r>
    </w:p>
    <w:p w14:paraId="2E516BF6" w14:textId="638A0173" w:rsidR="007231D5" w:rsidRDefault="008A4BDE" w:rsidP="00C846FC">
      <w:pPr>
        <w:spacing w:line="278" w:lineRule="auto"/>
        <w:ind w:right="284" w:hanging="11"/>
        <w:rPr>
          <w:rFonts w:ascii="Selawik" w:hAnsi="Selawik"/>
          <w:bCs/>
          <w:sz w:val="23"/>
          <w:szCs w:val="23"/>
        </w:rPr>
      </w:pPr>
      <w:r w:rsidRPr="007231D5">
        <w:rPr>
          <w:noProof/>
          <w:lang w:eastAsia="fr-FR"/>
        </w:rPr>
        <w:drawing>
          <wp:anchor distT="0" distB="0" distL="114300" distR="114300" simplePos="0" relativeHeight="252147712" behindDoc="0" locked="0" layoutInCell="1" allowOverlap="1" wp14:anchorId="00A8620D" wp14:editId="739D8A4A">
            <wp:simplePos x="0" y="0"/>
            <wp:positionH relativeFrom="margin">
              <wp:posOffset>-2612</wp:posOffset>
            </wp:positionH>
            <wp:positionV relativeFrom="paragraph">
              <wp:posOffset>290195</wp:posOffset>
            </wp:positionV>
            <wp:extent cx="6120000" cy="4249982"/>
            <wp:effectExtent l="0" t="0" r="0" b="0"/>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ocuments\00 TRAVAIL\1 - MISSION EN COURS\U 21 08 MECDU PLU SULLY EQIOM 45\01 DOSSIER\SUPPORT\périmètre d'extension.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20000" cy="424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E96BC" w14:textId="567F12F2" w:rsidR="00D62226" w:rsidRDefault="00D62226" w:rsidP="00C846FC">
      <w:pPr>
        <w:spacing w:line="278" w:lineRule="auto"/>
        <w:ind w:right="284" w:hanging="11"/>
        <w:rPr>
          <w:rFonts w:ascii="Selawik" w:hAnsi="Selawik"/>
          <w:sz w:val="22"/>
          <w:szCs w:val="23"/>
        </w:rPr>
      </w:pPr>
      <w:r w:rsidRPr="007231D5">
        <w:rPr>
          <w:noProof/>
          <w:lang w:eastAsia="fr-FR"/>
        </w:rPr>
        <w:lastRenderedPageBreak/>
        <w:drawing>
          <wp:anchor distT="0" distB="0" distL="114300" distR="114300" simplePos="0" relativeHeight="252151808" behindDoc="0" locked="0" layoutInCell="1" allowOverlap="1" wp14:anchorId="16B9706F" wp14:editId="7DCF2D51">
            <wp:simplePos x="0" y="0"/>
            <wp:positionH relativeFrom="margin">
              <wp:posOffset>-132715</wp:posOffset>
            </wp:positionH>
            <wp:positionV relativeFrom="paragraph">
              <wp:posOffset>623</wp:posOffset>
            </wp:positionV>
            <wp:extent cx="6120000" cy="4258609"/>
            <wp:effectExtent l="0" t="0" r="0" b="8890"/>
            <wp:wrapTopAndBottom/>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227"/>
                    <pic:cNvPicPr>
                      <a:picLocks noChangeAspect="1" noChangeArrowheads="1"/>
                    </pic:cNvPicPr>
                  </pic:nvPicPr>
                  <pic:blipFill>
                    <a:blip r:embed="rId19" cstate="hqprint">
                      <a:extLst>
                        <a:ext uri="{28A0092B-C50C-407E-A947-70E740481C1C}">
                          <a14:useLocalDpi xmlns:a14="http://schemas.microsoft.com/office/drawing/2010/main" val="0"/>
                        </a:ext>
                      </a:extLst>
                    </a:blip>
                    <a:stretch>
                      <a:fillRect/>
                    </a:stretch>
                  </pic:blipFill>
                  <pic:spPr bwMode="auto">
                    <a:xfrm>
                      <a:off x="0" y="0"/>
                      <a:ext cx="6120000" cy="42586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EFD">
        <w:rPr>
          <w:rFonts w:ascii="Selawik" w:hAnsi="Selawik"/>
          <w:sz w:val="22"/>
          <w:szCs w:val="23"/>
        </w:rPr>
        <w:t>Source</w:t>
      </w:r>
      <w:r w:rsidRPr="00EF1EFD">
        <w:rPr>
          <w:rFonts w:ascii="Calibri" w:hAnsi="Calibri" w:cs="Calibri"/>
          <w:sz w:val="22"/>
          <w:szCs w:val="23"/>
        </w:rPr>
        <w:t> </w:t>
      </w:r>
      <w:r w:rsidRPr="00EF1EFD">
        <w:rPr>
          <w:rFonts w:ascii="Selawik" w:hAnsi="Selawik"/>
          <w:sz w:val="22"/>
          <w:szCs w:val="23"/>
        </w:rPr>
        <w:t>: Géo+Environnement &amp; EQIOM - Dossier de demande d’Autorisation Environnementale</w:t>
      </w:r>
    </w:p>
    <w:p w14:paraId="00EEC37C" w14:textId="0C80E55A" w:rsidR="0027375B" w:rsidRDefault="0027375B" w:rsidP="00C846FC">
      <w:pPr>
        <w:pStyle w:val="Titre3"/>
        <w:spacing w:line="278" w:lineRule="auto"/>
      </w:pPr>
      <w:bookmarkStart w:id="23" w:name="_Toc99556093"/>
      <w:r>
        <w:t>Localisation</w:t>
      </w:r>
      <w:bookmarkEnd w:id="23"/>
      <w:r>
        <w:t xml:space="preserve"> </w:t>
      </w:r>
    </w:p>
    <w:p w14:paraId="399B876E" w14:textId="3ED6D4B9" w:rsidR="00ED5F2B" w:rsidRPr="00ED5F2B" w:rsidRDefault="003A3D7B" w:rsidP="00C846FC">
      <w:pPr>
        <w:spacing w:after="80" w:line="278" w:lineRule="auto"/>
        <w:ind w:right="284" w:hanging="11"/>
        <w:rPr>
          <w:rFonts w:ascii="Selawik" w:hAnsi="Selawik"/>
          <w:sz w:val="23"/>
          <w:szCs w:val="23"/>
        </w:rPr>
      </w:pPr>
      <w:r w:rsidRPr="003A3D7B">
        <w:rPr>
          <w:rFonts w:ascii="Selawik" w:hAnsi="Selawik"/>
          <w:sz w:val="23"/>
          <w:szCs w:val="23"/>
        </w:rPr>
        <w:t>L</w:t>
      </w:r>
      <w:r>
        <w:rPr>
          <w:rFonts w:ascii="Selawik" w:hAnsi="Selawik"/>
          <w:sz w:val="23"/>
          <w:szCs w:val="23"/>
        </w:rPr>
        <w:t>es cartographies en page précédente illustrent la localisation de la carrière alluvionnaire avec la zone d’extension en rouge sur la commune de Sully-sur-Loire.</w:t>
      </w:r>
      <w:r w:rsidR="00644AAE">
        <w:rPr>
          <w:rFonts w:ascii="Selawik" w:hAnsi="Selawik"/>
          <w:sz w:val="23"/>
          <w:szCs w:val="23"/>
        </w:rPr>
        <w:t xml:space="preserve"> </w:t>
      </w:r>
      <w:r w:rsidR="00ED5F2B" w:rsidRPr="00ED5F2B">
        <w:rPr>
          <w:rFonts w:ascii="Selawik" w:hAnsi="Selawik"/>
          <w:sz w:val="23"/>
          <w:szCs w:val="23"/>
        </w:rPr>
        <w:t xml:space="preserve">Le projet se trouve </w:t>
      </w:r>
      <w:r w:rsidR="00ED5F2B" w:rsidRPr="00ED5F2B">
        <w:rPr>
          <w:rFonts w:ascii="Selawik" w:hAnsi="Selawik"/>
          <w:color w:val="002060"/>
          <w:sz w:val="23"/>
          <w:szCs w:val="23"/>
          <w:u w:val="single"/>
        </w:rPr>
        <w:t>sur la commune de Sully-sur-Loire</w:t>
      </w:r>
      <w:r w:rsidR="00ED5F2B" w:rsidRPr="00ED5F2B">
        <w:rPr>
          <w:rFonts w:ascii="Selawik" w:hAnsi="Selawik"/>
          <w:sz w:val="23"/>
          <w:szCs w:val="23"/>
        </w:rPr>
        <w:t>, en rive gauche de la Loire (à moins de 1,2 km</w:t>
      </w:r>
      <w:r w:rsidR="008138D2">
        <w:rPr>
          <w:rFonts w:ascii="Selawik" w:hAnsi="Selawik"/>
          <w:sz w:val="23"/>
          <w:szCs w:val="23"/>
        </w:rPr>
        <w:t xml:space="preserve"> </w:t>
      </w:r>
      <w:r w:rsidR="00ED5F2B" w:rsidRPr="00ED5F2B">
        <w:rPr>
          <w:rFonts w:ascii="Selawik" w:hAnsi="Selawik"/>
          <w:sz w:val="23"/>
          <w:szCs w:val="23"/>
        </w:rPr>
        <w:t>des bords de Loire au point le plus proche), en région Centre, à environ 40 km au Sud-Est d’Orléans</w:t>
      </w:r>
      <w:r w:rsidR="008138D2">
        <w:rPr>
          <w:rFonts w:ascii="Selawik" w:hAnsi="Selawik"/>
          <w:sz w:val="23"/>
          <w:szCs w:val="23"/>
        </w:rPr>
        <w:t xml:space="preserve"> </w:t>
      </w:r>
      <w:r w:rsidR="00ED5F2B" w:rsidRPr="00ED5F2B">
        <w:rPr>
          <w:rFonts w:ascii="Selawik" w:hAnsi="Selawik"/>
          <w:sz w:val="23"/>
          <w:szCs w:val="23"/>
        </w:rPr>
        <w:t>(45) et 21 km au Nord-Ouest de la ville de Gien (45) et 4,0 km au Nord-Ouest du bourg de Sully-sur-Loire (distance des limites du projet au centre-bourg).</w:t>
      </w:r>
      <w:r w:rsidR="00D62226">
        <w:rPr>
          <w:rFonts w:ascii="Selawik" w:hAnsi="Selawik"/>
          <w:sz w:val="23"/>
          <w:szCs w:val="23"/>
        </w:rPr>
        <w:t xml:space="preserve"> </w:t>
      </w:r>
      <w:r w:rsidR="00ED5F2B" w:rsidRPr="00ED5F2B">
        <w:rPr>
          <w:rFonts w:ascii="Selawik" w:hAnsi="Selawik"/>
          <w:sz w:val="23"/>
          <w:szCs w:val="23"/>
        </w:rPr>
        <w:t>Les communes environnantes sont :</w:t>
      </w:r>
    </w:p>
    <w:p w14:paraId="1EA75C02" w14:textId="45C5D950" w:rsidR="00ED5F2B" w:rsidRPr="00ED5F2B" w:rsidRDefault="00ED5F2B" w:rsidP="00C846FC">
      <w:pPr>
        <w:pStyle w:val="Paragraphedeliste"/>
        <w:numPr>
          <w:ilvl w:val="0"/>
          <w:numId w:val="26"/>
        </w:numPr>
        <w:spacing w:after="80" w:line="278" w:lineRule="auto"/>
        <w:ind w:left="238" w:hanging="170"/>
        <w:contextualSpacing w:val="0"/>
        <w:rPr>
          <w:rFonts w:ascii="Selawik" w:hAnsi="Selawik"/>
          <w:sz w:val="23"/>
          <w:szCs w:val="23"/>
        </w:rPr>
      </w:pPr>
      <w:r w:rsidRPr="00ED5F2B">
        <w:rPr>
          <w:rFonts w:ascii="Selawik" w:hAnsi="Selawik"/>
          <w:sz w:val="23"/>
          <w:szCs w:val="23"/>
        </w:rPr>
        <w:t>A 3,4 km (distance des limites du projet au centre-bourg) au Nord-Ouest : Guilly (45)</w:t>
      </w:r>
      <w:r w:rsidR="00007855">
        <w:rPr>
          <w:rFonts w:ascii="Calibri" w:hAnsi="Calibri" w:cs="Calibri"/>
          <w:sz w:val="23"/>
          <w:szCs w:val="23"/>
        </w:rPr>
        <w:t> </w:t>
      </w:r>
      <w:r w:rsidR="00007855">
        <w:rPr>
          <w:rFonts w:ascii="Selawik" w:hAnsi="Selawik"/>
          <w:sz w:val="23"/>
          <w:szCs w:val="23"/>
        </w:rPr>
        <w:t>;</w:t>
      </w:r>
    </w:p>
    <w:p w14:paraId="220F6DD5" w14:textId="69F2A521" w:rsidR="00ED5F2B" w:rsidRPr="00ED5F2B" w:rsidRDefault="00ED5F2B" w:rsidP="00C846FC">
      <w:pPr>
        <w:pStyle w:val="Paragraphedeliste"/>
        <w:numPr>
          <w:ilvl w:val="0"/>
          <w:numId w:val="26"/>
        </w:numPr>
        <w:spacing w:after="80" w:line="278" w:lineRule="auto"/>
        <w:ind w:left="238" w:hanging="170"/>
        <w:contextualSpacing w:val="0"/>
        <w:rPr>
          <w:rFonts w:ascii="Selawik" w:hAnsi="Selawik"/>
          <w:sz w:val="23"/>
          <w:szCs w:val="23"/>
        </w:rPr>
      </w:pPr>
      <w:r w:rsidRPr="00ED5F2B">
        <w:rPr>
          <w:rFonts w:ascii="Selawik" w:hAnsi="Selawik"/>
          <w:sz w:val="23"/>
          <w:szCs w:val="23"/>
        </w:rPr>
        <w:t>A 4,2 km (distance des limites du projet au centre-bourg) au Nord-Est, en rive droite de la</w:t>
      </w:r>
      <w:r w:rsidR="008138D2">
        <w:rPr>
          <w:rFonts w:ascii="Selawik" w:hAnsi="Selawik"/>
          <w:sz w:val="23"/>
          <w:szCs w:val="23"/>
        </w:rPr>
        <w:t xml:space="preserve"> </w:t>
      </w:r>
      <w:r w:rsidRPr="00ED5F2B">
        <w:rPr>
          <w:rFonts w:ascii="Selawik" w:hAnsi="Selawik"/>
          <w:sz w:val="23"/>
          <w:szCs w:val="23"/>
        </w:rPr>
        <w:t>Loire : Saint-Père-sur-Loire (45)</w:t>
      </w:r>
      <w:r w:rsidR="00007855">
        <w:rPr>
          <w:rFonts w:ascii="Calibri" w:hAnsi="Calibri" w:cs="Calibri"/>
          <w:sz w:val="23"/>
          <w:szCs w:val="23"/>
        </w:rPr>
        <w:t> </w:t>
      </w:r>
      <w:r w:rsidR="00007855">
        <w:rPr>
          <w:rFonts w:ascii="Selawik" w:hAnsi="Selawik"/>
          <w:sz w:val="23"/>
          <w:szCs w:val="23"/>
        </w:rPr>
        <w:t>;</w:t>
      </w:r>
    </w:p>
    <w:p w14:paraId="0ED6F973" w14:textId="59E18EA8" w:rsidR="00ED5F2B" w:rsidRPr="00ED5F2B" w:rsidRDefault="00ED5F2B" w:rsidP="00C846FC">
      <w:pPr>
        <w:pStyle w:val="Paragraphedeliste"/>
        <w:numPr>
          <w:ilvl w:val="0"/>
          <w:numId w:val="26"/>
        </w:numPr>
        <w:spacing w:after="80" w:line="278" w:lineRule="auto"/>
        <w:ind w:left="238" w:hanging="170"/>
        <w:contextualSpacing w:val="0"/>
        <w:rPr>
          <w:rFonts w:ascii="Selawik" w:hAnsi="Selawik"/>
          <w:sz w:val="23"/>
          <w:szCs w:val="23"/>
        </w:rPr>
      </w:pPr>
      <w:r w:rsidRPr="00ED5F2B">
        <w:rPr>
          <w:rFonts w:ascii="Selawik" w:hAnsi="Selawik"/>
          <w:sz w:val="23"/>
          <w:szCs w:val="23"/>
        </w:rPr>
        <w:t>A 3,3 km (distance des limites du projet au centre-bourg) au Nord, en rive droite de la Loire :</w:t>
      </w:r>
      <w:r w:rsidR="008138D2">
        <w:rPr>
          <w:rFonts w:ascii="Selawik" w:hAnsi="Selawik"/>
          <w:sz w:val="23"/>
          <w:szCs w:val="23"/>
        </w:rPr>
        <w:t xml:space="preserve"> </w:t>
      </w:r>
      <w:r w:rsidRPr="00ED5F2B">
        <w:rPr>
          <w:rFonts w:ascii="Selawik" w:hAnsi="Selawik"/>
          <w:sz w:val="23"/>
          <w:szCs w:val="23"/>
        </w:rPr>
        <w:t>Saint-Benoît-sur-Loire (45)</w:t>
      </w:r>
      <w:r w:rsidR="00007855">
        <w:rPr>
          <w:rFonts w:ascii="Calibri" w:hAnsi="Calibri" w:cs="Calibri"/>
          <w:sz w:val="23"/>
          <w:szCs w:val="23"/>
        </w:rPr>
        <w:t> </w:t>
      </w:r>
      <w:r w:rsidR="00007855">
        <w:rPr>
          <w:rFonts w:ascii="Selawik" w:hAnsi="Selawik"/>
          <w:sz w:val="23"/>
          <w:szCs w:val="23"/>
        </w:rPr>
        <w:t>;</w:t>
      </w:r>
    </w:p>
    <w:p w14:paraId="682C64C7" w14:textId="54BD6690" w:rsidR="00ED5F2B" w:rsidRPr="00ED5F2B" w:rsidRDefault="00ED5F2B" w:rsidP="00C846FC">
      <w:pPr>
        <w:pStyle w:val="Paragraphedeliste"/>
        <w:numPr>
          <w:ilvl w:val="0"/>
          <w:numId w:val="26"/>
        </w:numPr>
        <w:spacing w:after="80" w:line="278" w:lineRule="auto"/>
        <w:ind w:left="238" w:hanging="170"/>
        <w:contextualSpacing w:val="0"/>
        <w:rPr>
          <w:rFonts w:ascii="Selawik" w:hAnsi="Selawik"/>
          <w:sz w:val="23"/>
          <w:szCs w:val="23"/>
        </w:rPr>
      </w:pPr>
      <w:r w:rsidRPr="00ED5F2B">
        <w:rPr>
          <w:rFonts w:ascii="Selawik" w:hAnsi="Selawik"/>
          <w:sz w:val="23"/>
          <w:szCs w:val="23"/>
        </w:rPr>
        <w:t>A 4,4 km (distance des limites du projet au centre-bourg) à l’Ouest : Neuvy-en-Sullias (45)</w:t>
      </w:r>
      <w:r w:rsidR="00007855">
        <w:rPr>
          <w:rFonts w:ascii="Calibri" w:hAnsi="Calibri" w:cs="Calibri"/>
          <w:sz w:val="23"/>
          <w:szCs w:val="23"/>
        </w:rPr>
        <w:t> </w:t>
      </w:r>
      <w:r w:rsidR="00007855">
        <w:rPr>
          <w:rFonts w:ascii="Selawik" w:hAnsi="Selawik"/>
          <w:sz w:val="23"/>
          <w:szCs w:val="23"/>
        </w:rPr>
        <w:t>;</w:t>
      </w:r>
    </w:p>
    <w:p w14:paraId="0A230262" w14:textId="7380276B" w:rsidR="00ED5F2B" w:rsidRPr="00ED5F2B" w:rsidRDefault="00ED5F2B" w:rsidP="00C846FC">
      <w:pPr>
        <w:pStyle w:val="Paragraphedeliste"/>
        <w:numPr>
          <w:ilvl w:val="0"/>
          <w:numId w:val="26"/>
        </w:numPr>
        <w:spacing w:after="80" w:line="278" w:lineRule="auto"/>
        <w:ind w:left="238" w:hanging="170"/>
        <w:contextualSpacing w:val="0"/>
        <w:rPr>
          <w:rFonts w:ascii="Selawik" w:hAnsi="Selawik"/>
          <w:sz w:val="23"/>
          <w:szCs w:val="23"/>
        </w:rPr>
      </w:pPr>
      <w:r w:rsidRPr="00ED5F2B">
        <w:rPr>
          <w:rFonts w:ascii="Selawik" w:hAnsi="Selawik"/>
          <w:sz w:val="23"/>
          <w:szCs w:val="23"/>
        </w:rPr>
        <w:t>A 4,5 km (distance des limites du projet au centre-bourg) au Sud : Viglain (45)</w:t>
      </w:r>
      <w:r w:rsidR="00007855">
        <w:rPr>
          <w:rFonts w:ascii="Calibri" w:hAnsi="Calibri" w:cs="Calibri"/>
          <w:sz w:val="23"/>
          <w:szCs w:val="23"/>
        </w:rPr>
        <w:t> </w:t>
      </w:r>
      <w:r w:rsidR="00007855">
        <w:rPr>
          <w:rFonts w:ascii="Selawik" w:hAnsi="Selawik"/>
          <w:sz w:val="23"/>
          <w:szCs w:val="23"/>
        </w:rPr>
        <w:t>;</w:t>
      </w:r>
    </w:p>
    <w:p w14:paraId="52072A4A" w14:textId="32C93CF1" w:rsidR="00ED5F2B" w:rsidRDefault="00ED5F2B" w:rsidP="00C846FC">
      <w:pPr>
        <w:pStyle w:val="Paragraphedeliste"/>
        <w:numPr>
          <w:ilvl w:val="0"/>
          <w:numId w:val="26"/>
        </w:numPr>
        <w:spacing w:line="278" w:lineRule="auto"/>
        <w:ind w:left="238" w:hanging="170"/>
        <w:contextualSpacing w:val="0"/>
        <w:rPr>
          <w:rFonts w:ascii="Selawik" w:hAnsi="Selawik"/>
          <w:sz w:val="23"/>
          <w:szCs w:val="23"/>
        </w:rPr>
      </w:pPr>
      <w:r w:rsidRPr="00ED5F2B">
        <w:rPr>
          <w:rFonts w:ascii="Selawik" w:hAnsi="Selawik"/>
          <w:sz w:val="23"/>
          <w:szCs w:val="23"/>
        </w:rPr>
        <w:t>A 5,6 km (distance des limites du projet au centre-bourg) au Nord-Est, en rive droite de la</w:t>
      </w:r>
      <w:r w:rsidR="008138D2">
        <w:rPr>
          <w:rFonts w:ascii="Selawik" w:hAnsi="Selawik"/>
          <w:sz w:val="23"/>
          <w:szCs w:val="23"/>
        </w:rPr>
        <w:t xml:space="preserve"> </w:t>
      </w:r>
      <w:r w:rsidRPr="00ED5F2B">
        <w:rPr>
          <w:rFonts w:ascii="Selawik" w:hAnsi="Selawik"/>
          <w:sz w:val="23"/>
          <w:szCs w:val="23"/>
        </w:rPr>
        <w:t>Loire : Bonnée (45).</w:t>
      </w:r>
    </w:p>
    <w:p w14:paraId="6D33AE08" w14:textId="77777777" w:rsidR="00347BA8" w:rsidRPr="00347BA8" w:rsidRDefault="00347BA8" w:rsidP="00347BA8">
      <w:pPr>
        <w:spacing w:line="278" w:lineRule="auto"/>
        <w:rPr>
          <w:rFonts w:ascii="Selawik" w:hAnsi="Selawik"/>
          <w:sz w:val="23"/>
          <w:szCs w:val="23"/>
        </w:rPr>
      </w:pPr>
    </w:p>
    <w:p w14:paraId="77EE326B" w14:textId="77777777" w:rsidR="00ED5F2B" w:rsidRPr="00ED5F2B" w:rsidRDefault="00ED5F2B" w:rsidP="00C846FC">
      <w:pPr>
        <w:spacing w:after="80" w:line="278" w:lineRule="auto"/>
        <w:ind w:right="284" w:hanging="11"/>
        <w:rPr>
          <w:rFonts w:ascii="Selawik" w:hAnsi="Selawik"/>
          <w:color w:val="002060"/>
          <w:sz w:val="23"/>
          <w:szCs w:val="23"/>
          <w:u w:val="single"/>
        </w:rPr>
      </w:pPr>
      <w:r w:rsidRPr="00ED5F2B">
        <w:rPr>
          <w:rFonts w:ascii="Selawik" w:hAnsi="Selawik"/>
          <w:color w:val="002060"/>
          <w:sz w:val="23"/>
          <w:szCs w:val="23"/>
          <w:u w:val="single"/>
        </w:rPr>
        <w:lastRenderedPageBreak/>
        <w:t>La zone du projet est entourée par :</w:t>
      </w:r>
    </w:p>
    <w:p w14:paraId="08113566" w14:textId="2CDCC9DB" w:rsidR="00ED5F2B" w:rsidRPr="00ED5F2B" w:rsidRDefault="00ED5F2B" w:rsidP="00C846FC">
      <w:pPr>
        <w:pStyle w:val="Paragraphedeliste"/>
        <w:numPr>
          <w:ilvl w:val="0"/>
          <w:numId w:val="26"/>
        </w:numPr>
        <w:spacing w:after="80" w:line="278" w:lineRule="auto"/>
        <w:ind w:left="238" w:hanging="170"/>
        <w:contextualSpacing w:val="0"/>
        <w:rPr>
          <w:rFonts w:ascii="Selawik" w:hAnsi="Selawik"/>
          <w:sz w:val="23"/>
          <w:szCs w:val="23"/>
        </w:rPr>
      </w:pPr>
      <w:r w:rsidRPr="00ED5F2B">
        <w:rPr>
          <w:rFonts w:ascii="Selawik" w:hAnsi="Selawik"/>
          <w:sz w:val="23"/>
          <w:szCs w:val="23"/>
        </w:rPr>
        <w:t>Le chemin, la ferme de La Brosse au Nord ;</w:t>
      </w:r>
    </w:p>
    <w:p w14:paraId="173A4DB8" w14:textId="6E33C002" w:rsidR="00ED5F2B" w:rsidRPr="00ED5F2B" w:rsidRDefault="00ED5F2B" w:rsidP="00C846FC">
      <w:pPr>
        <w:pStyle w:val="Paragraphedeliste"/>
        <w:numPr>
          <w:ilvl w:val="0"/>
          <w:numId w:val="26"/>
        </w:numPr>
        <w:spacing w:after="80" w:line="278" w:lineRule="auto"/>
        <w:ind w:left="238" w:hanging="170"/>
        <w:contextualSpacing w:val="0"/>
        <w:rPr>
          <w:rFonts w:ascii="Selawik" w:hAnsi="Selawik"/>
          <w:sz w:val="23"/>
          <w:szCs w:val="23"/>
        </w:rPr>
      </w:pPr>
      <w:r w:rsidRPr="00ED5F2B">
        <w:rPr>
          <w:rFonts w:ascii="Selawik" w:hAnsi="Selawik"/>
          <w:sz w:val="23"/>
          <w:szCs w:val="23"/>
        </w:rPr>
        <w:t>Des champs cultivés au Nord-Est, à l’Est et au Sud-Est ;</w:t>
      </w:r>
    </w:p>
    <w:p w14:paraId="32C44025" w14:textId="5F594A20" w:rsidR="00ED5F2B" w:rsidRPr="00ED5F2B" w:rsidRDefault="00ED5F2B" w:rsidP="00C846FC">
      <w:pPr>
        <w:pStyle w:val="Paragraphedeliste"/>
        <w:numPr>
          <w:ilvl w:val="0"/>
          <w:numId w:val="26"/>
        </w:numPr>
        <w:spacing w:after="80" w:line="278" w:lineRule="auto"/>
        <w:ind w:left="238" w:hanging="170"/>
        <w:contextualSpacing w:val="0"/>
        <w:rPr>
          <w:rFonts w:ascii="Selawik" w:hAnsi="Selawik"/>
          <w:sz w:val="23"/>
          <w:szCs w:val="23"/>
        </w:rPr>
      </w:pPr>
      <w:r w:rsidRPr="00ED5F2B">
        <w:rPr>
          <w:rFonts w:ascii="Selawik" w:hAnsi="Selawik"/>
          <w:sz w:val="23"/>
          <w:szCs w:val="23"/>
        </w:rPr>
        <w:t>Des boisements sur la partie Sud et au Nord-Est ;</w:t>
      </w:r>
    </w:p>
    <w:p w14:paraId="7EC6F48A" w14:textId="7B415A17" w:rsidR="00D8788E" w:rsidRPr="00644AAE" w:rsidRDefault="00ED5F2B" w:rsidP="00C846FC">
      <w:pPr>
        <w:pStyle w:val="Paragraphedeliste"/>
        <w:numPr>
          <w:ilvl w:val="0"/>
          <w:numId w:val="26"/>
        </w:numPr>
        <w:spacing w:after="0" w:line="278" w:lineRule="auto"/>
        <w:ind w:left="238" w:hanging="170"/>
        <w:contextualSpacing w:val="0"/>
        <w:jc w:val="left"/>
        <w:rPr>
          <w:rFonts w:ascii="Selawik" w:hAnsi="Selawik"/>
          <w:sz w:val="23"/>
          <w:szCs w:val="23"/>
        </w:rPr>
      </w:pPr>
      <w:r w:rsidRPr="00644AAE">
        <w:rPr>
          <w:rFonts w:ascii="Selawik" w:hAnsi="Selawik"/>
          <w:sz w:val="23"/>
          <w:szCs w:val="23"/>
        </w:rPr>
        <w:t>Les plans d’eau « Parc à Coeur » à l’Ouest et « Grande pièce de La Brosse » au Nord.</w:t>
      </w:r>
    </w:p>
    <w:p w14:paraId="5D79EABA" w14:textId="577B873A" w:rsidR="00EF1EFD" w:rsidRDefault="00EF1EFD" w:rsidP="00C846FC">
      <w:pPr>
        <w:pStyle w:val="Titre3"/>
        <w:spacing w:line="278" w:lineRule="auto"/>
      </w:pPr>
      <w:bookmarkStart w:id="24" w:name="_Toc99556094"/>
      <w:bookmarkStart w:id="25" w:name="_Toc510706065"/>
      <w:r>
        <w:t>Tableau foncier</w:t>
      </w:r>
      <w:bookmarkEnd w:id="24"/>
    </w:p>
    <w:p w14:paraId="38FFA917" w14:textId="0D726162" w:rsidR="00EF1EFD" w:rsidRPr="00C46B4D" w:rsidRDefault="00C46B4D" w:rsidP="00C846FC">
      <w:pPr>
        <w:spacing w:line="278" w:lineRule="auto"/>
        <w:rPr>
          <w:rFonts w:ascii="Selawik" w:hAnsi="Selawik"/>
          <w:sz w:val="23"/>
          <w:szCs w:val="23"/>
        </w:rPr>
      </w:pPr>
      <w:r w:rsidRPr="00C46B4D">
        <w:rPr>
          <w:rFonts w:ascii="Selawik" w:hAnsi="Selawik"/>
          <w:sz w:val="23"/>
          <w:szCs w:val="23"/>
        </w:rPr>
        <w:t xml:space="preserve">La </w:t>
      </w:r>
      <w:r>
        <w:rPr>
          <w:rFonts w:ascii="Selawik" w:hAnsi="Selawik"/>
          <w:sz w:val="23"/>
          <w:szCs w:val="23"/>
        </w:rPr>
        <w:t>s</w:t>
      </w:r>
      <w:r w:rsidRPr="00C46B4D">
        <w:rPr>
          <w:rFonts w:ascii="Selawik" w:hAnsi="Selawik"/>
          <w:sz w:val="23"/>
          <w:szCs w:val="23"/>
        </w:rPr>
        <w:t xml:space="preserve">ociété EQIOM </w:t>
      </w:r>
      <w:r>
        <w:rPr>
          <w:rFonts w:ascii="Selawik" w:hAnsi="Selawik"/>
          <w:sz w:val="23"/>
          <w:szCs w:val="23"/>
        </w:rPr>
        <w:t xml:space="preserve">Granulats </w:t>
      </w:r>
      <w:r w:rsidRPr="00C46B4D">
        <w:rPr>
          <w:rFonts w:ascii="Selawik" w:hAnsi="Selawik"/>
          <w:sz w:val="23"/>
          <w:szCs w:val="23"/>
        </w:rPr>
        <w:t>souhaite déposer une déclaration de projet auprès de la commune de Sully-sur-Loire (45) pour que les 16 parcelles suivantes</w:t>
      </w:r>
      <w:r w:rsidR="00C96604">
        <w:rPr>
          <w:rFonts w:ascii="Calibri" w:hAnsi="Calibri" w:cs="Calibri"/>
          <w:sz w:val="23"/>
          <w:szCs w:val="23"/>
        </w:rPr>
        <w:t> </w:t>
      </w:r>
      <w:r w:rsidR="00C96604">
        <w:rPr>
          <w:rFonts w:ascii="Selawik" w:hAnsi="Selawik"/>
          <w:sz w:val="23"/>
          <w:szCs w:val="23"/>
        </w:rPr>
        <w:t>:</w:t>
      </w:r>
    </w:p>
    <w:tbl>
      <w:tblPr>
        <w:tblStyle w:val="TableauGrille6Couleur-Accentuation5"/>
        <w:tblW w:w="5000" w:type="pct"/>
        <w:tblLook w:val="04A0" w:firstRow="1" w:lastRow="0" w:firstColumn="1" w:lastColumn="0" w:noHBand="0" w:noVBand="1"/>
      </w:tblPr>
      <w:tblGrid>
        <w:gridCol w:w="1582"/>
        <w:gridCol w:w="1693"/>
        <w:gridCol w:w="2661"/>
        <w:gridCol w:w="2759"/>
        <w:gridCol w:w="913"/>
      </w:tblGrid>
      <w:tr w:rsidR="00DC0B6D" w:rsidRPr="00B933C3" w14:paraId="19695F11" w14:textId="2A7B573B" w:rsidTr="00956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top w:val="double" w:sz="4" w:space="0" w:color="002060"/>
              <w:left w:val="double" w:sz="4" w:space="0" w:color="002060"/>
            </w:tcBorders>
            <w:vAlign w:val="center"/>
          </w:tcPr>
          <w:p w14:paraId="4DA5A3AD" w14:textId="76917C6B" w:rsidR="00DC0B6D" w:rsidRPr="00B933C3" w:rsidRDefault="00DC0B6D"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Référence de la parcelle</w:t>
            </w:r>
          </w:p>
        </w:tc>
        <w:tc>
          <w:tcPr>
            <w:tcW w:w="881" w:type="pct"/>
            <w:tcBorders>
              <w:top w:val="double" w:sz="4" w:space="0" w:color="002060"/>
              <w:right w:val="double" w:sz="4" w:space="0" w:color="002060"/>
            </w:tcBorders>
            <w:vAlign w:val="center"/>
          </w:tcPr>
          <w:p w14:paraId="66850DA5" w14:textId="7C022FF8" w:rsidR="00DC0B6D" w:rsidRPr="00B933C3" w:rsidRDefault="00DC0B6D" w:rsidP="00C846FC">
            <w:pPr>
              <w:spacing w:before="40" w:after="40" w:line="278" w:lineRule="auto"/>
              <w:jc w:val="center"/>
              <w:cnfStyle w:val="100000000000" w:firstRow="1" w:lastRow="0" w:firstColumn="0" w:lastColumn="0" w:oddVBand="0" w:evenVBand="0" w:oddHBand="0" w:evenHBand="0" w:firstRowFirstColumn="0" w:firstRowLastColumn="0" w:lastRowFirstColumn="0" w:lastRowLastColumn="0"/>
              <w:rPr>
                <w:rFonts w:ascii="Selawik" w:hAnsi="Selawik"/>
                <w:b w:val="0"/>
                <w:bCs w:val="0"/>
                <w:color w:val="002060"/>
                <w:sz w:val="21"/>
                <w:szCs w:val="21"/>
              </w:rPr>
            </w:pPr>
            <w:r w:rsidRPr="00B933C3">
              <w:rPr>
                <w:rFonts w:ascii="Selawik" w:hAnsi="Selawik"/>
                <w:b w:val="0"/>
                <w:bCs w:val="0"/>
                <w:color w:val="002060"/>
                <w:sz w:val="21"/>
                <w:szCs w:val="21"/>
              </w:rPr>
              <w:t>Maitrise foncière / Propriétaire</w:t>
            </w:r>
          </w:p>
        </w:tc>
        <w:tc>
          <w:tcPr>
            <w:tcW w:w="1385" w:type="pct"/>
            <w:tcBorders>
              <w:top w:val="double" w:sz="4" w:space="0" w:color="002060"/>
              <w:right w:val="double" w:sz="4" w:space="0" w:color="002060"/>
            </w:tcBorders>
            <w:vAlign w:val="center"/>
          </w:tcPr>
          <w:p w14:paraId="733B9C22" w14:textId="2A59C0F3" w:rsidR="00DC0B6D" w:rsidRPr="00B933C3" w:rsidRDefault="00DC0B6D" w:rsidP="00C846FC">
            <w:pPr>
              <w:spacing w:before="40" w:after="40" w:line="278" w:lineRule="auto"/>
              <w:jc w:val="center"/>
              <w:cnfStyle w:val="100000000000" w:firstRow="1" w:lastRow="0" w:firstColumn="0" w:lastColumn="0" w:oddVBand="0" w:evenVBand="0" w:oddHBand="0" w:evenHBand="0" w:firstRowFirstColumn="0" w:firstRowLastColumn="0" w:lastRowFirstColumn="0" w:lastRowLastColumn="0"/>
              <w:rPr>
                <w:rFonts w:ascii="Selawik" w:hAnsi="Selawik"/>
                <w:b w:val="0"/>
                <w:bCs w:val="0"/>
                <w:color w:val="002060"/>
                <w:sz w:val="21"/>
                <w:szCs w:val="21"/>
              </w:rPr>
            </w:pPr>
            <w:r w:rsidRPr="00B933C3">
              <w:rPr>
                <w:rFonts w:ascii="Selawik" w:hAnsi="Selawik"/>
                <w:b w:val="0"/>
                <w:bCs w:val="0"/>
                <w:color w:val="002060"/>
                <w:sz w:val="21"/>
                <w:szCs w:val="21"/>
              </w:rPr>
              <w:t xml:space="preserve">Surface totale (en m²) </w:t>
            </w:r>
            <w:hyperlink r:id="rId20" w:history="1">
              <w:r w:rsidRPr="00B933C3">
                <w:rPr>
                  <w:rStyle w:val="Lienhypertexte"/>
                  <w:rFonts w:ascii="Selawik" w:hAnsi="Selawik"/>
                  <w:color w:val="002060"/>
                  <w:sz w:val="21"/>
                  <w:szCs w:val="21"/>
                </w:rPr>
                <w:t>www.cadastre.gouv.fr</w:t>
              </w:r>
            </w:hyperlink>
            <w:r w:rsidRPr="00B933C3">
              <w:rPr>
                <w:rFonts w:ascii="Selawik" w:hAnsi="Selawik"/>
                <w:b w:val="0"/>
                <w:bCs w:val="0"/>
                <w:color w:val="002060"/>
                <w:sz w:val="21"/>
                <w:szCs w:val="21"/>
              </w:rPr>
              <w:t xml:space="preserve"> </w:t>
            </w:r>
          </w:p>
        </w:tc>
        <w:tc>
          <w:tcPr>
            <w:tcW w:w="1436" w:type="pct"/>
            <w:tcBorders>
              <w:top w:val="double" w:sz="4" w:space="0" w:color="002060"/>
              <w:right w:val="double" w:sz="4" w:space="0" w:color="002060"/>
            </w:tcBorders>
            <w:vAlign w:val="center"/>
          </w:tcPr>
          <w:p w14:paraId="5A3E5B29" w14:textId="5A31CB14" w:rsidR="00DC0B6D" w:rsidRPr="00B933C3" w:rsidRDefault="00DC0B6D" w:rsidP="00C846FC">
            <w:pPr>
              <w:spacing w:before="40" w:after="40" w:line="278" w:lineRule="auto"/>
              <w:jc w:val="center"/>
              <w:cnfStyle w:val="100000000000" w:firstRow="1" w:lastRow="0" w:firstColumn="0" w:lastColumn="0" w:oddVBand="0" w:evenVBand="0" w:oddHBand="0" w:evenHBand="0" w:firstRowFirstColumn="0" w:firstRowLastColumn="0" w:lastRowFirstColumn="0" w:lastRowLastColumn="0"/>
              <w:rPr>
                <w:rFonts w:ascii="Selawik" w:hAnsi="Selawik"/>
                <w:b w:val="0"/>
                <w:bCs w:val="0"/>
                <w:color w:val="002060"/>
                <w:sz w:val="21"/>
                <w:szCs w:val="21"/>
              </w:rPr>
            </w:pPr>
            <w:r w:rsidRPr="00B933C3">
              <w:rPr>
                <w:rFonts w:ascii="Selawik" w:hAnsi="Selawik"/>
                <w:b w:val="0"/>
                <w:bCs w:val="0"/>
                <w:color w:val="002060"/>
                <w:sz w:val="21"/>
                <w:szCs w:val="21"/>
              </w:rPr>
              <w:t xml:space="preserve">Surface concernée par l’extension </w:t>
            </w:r>
            <w:r w:rsidR="00956B0F" w:rsidRPr="00B933C3">
              <w:rPr>
                <w:rFonts w:ascii="Selawik" w:hAnsi="Selawik"/>
                <w:b w:val="0"/>
                <w:bCs w:val="0"/>
                <w:color w:val="002060"/>
                <w:sz w:val="21"/>
                <w:szCs w:val="21"/>
              </w:rPr>
              <w:t xml:space="preserve">– figurant sur le dossier </w:t>
            </w:r>
            <w:r w:rsidR="003E0337" w:rsidRPr="00B933C3">
              <w:rPr>
                <w:rFonts w:ascii="Selawik" w:hAnsi="Selawik"/>
                <w:b w:val="0"/>
                <w:bCs w:val="0"/>
                <w:color w:val="002060"/>
                <w:sz w:val="21"/>
                <w:szCs w:val="21"/>
              </w:rPr>
              <w:t>de déclaration de projet MECDU</w:t>
            </w:r>
            <w:r w:rsidR="00956B0F" w:rsidRPr="00B933C3">
              <w:rPr>
                <w:rFonts w:ascii="Selawik" w:hAnsi="Selawik"/>
                <w:b w:val="0"/>
                <w:bCs w:val="0"/>
                <w:color w:val="002060"/>
                <w:sz w:val="21"/>
                <w:szCs w:val="21"/>
              </w:rPr>
              <w:t xml:space="preserve"> </w:t>
            </w:r>
            <w:r w:rsidRPr="00B933C3">
              <w:rPr>
                <w:rFonts w:ascii="Selawik" w:hAnsi="Selawik"/>
                <w:b w:val="0"/>
                <w:bCs w:val="0"/>
                <w:color w:val="002060"/>
                <w:sz w:val="21"/>
                <w:szCs w:val="21"/>
              </w:rPr>
              <w:t>(en m²)</w:t>
            </w:r>
          </w:p>
        </w:tc>
        <w:tc>
          <w:tcPr>
            <w:tcW w:w="475" w:type="pct"/>
            <w:tcBorders>
              <w:top w:val="double" w:sz="4" w:space="0" w:color="002060"/>
              <w:right w:val="double" w:sz="4" w:space="0" w:color="002060"/>
            </w:tcBorders>
            <w:vAlign w:val="center"/>
          </w:tcPr>
          <w:p w14:paraId="58CE3A83" w14:textId="29216D0C" w:rsidR="00DC0B6D" w:rsidRPr="00B933C3" w:rsidRDefault="00DC0B6D" w:rsidP="00C846FC">
            <w:pPr>
              <w:spacing w:before="40" w:after="40" w:line="278" w:lineRule="auto"/>
              <w:jc w:val="center"/>
              <w:cnfStyle w:val="100000000000" w:firstRow="1" w:lastRow="0" w:firstColumn="0" w:lastColumn="0" w:oddVBand="0" w:evenVBand="0" w:oddHBand="0" w:evenHBand="0" w:firstRowFirstColumn="0" w:firstRowLastColumn="0" w:lastRowFirstColumn="0" w:lastRowLastColumn="0"/>
              <w:rPr>
                <w:rFonts w:ascii="Selawik" w:hAnsi="Selawik"/>
                <w:b w:val="0"/>
                <w:bCs w:val="0"/>
                <w:color w:val="002060"/>
                <w:sz w:val="21"/>
                <w:szCs w:val="21"/>
              </w:rPr>
            </w:pPr>
            <w:r w:rsidRPr="00B933C3">
              <w:rPr>
                <w:rFonts w:ascii="Selawik" w:hAnsi="Selawik"/>
                <w:b w:val="0"/>
                <w:bCs w:val="0"/>
                <w:color w:val="002060"/>
                <w:sz w:val="21"/>
                <w:szCs w:val="21"/>
              </w:rPr>
              <w:t>%</w:t>
            </w:r>
          </w:p>
        </w:tc>
      </w:tr>
      <w:tr w:rsidR="00DC0B6D" w:rsidRPr="00B933C3" w14:paraId="66CC6D0E" w14:textId="7AA7A9C0" w:rsidTr="00956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7A70C6C5" w14:textId="0BE953DD" w:rsidR="00DC0B6D" w:rsidRPr="00B933C3" w:rsidRDefault="00DC0B6D"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0140</w:t>
            </w:r>
          </w:p>
        </w:tc>
        <w:tc>
          <w:tcPr>
            <w:tcW w:w="881" w:type="pct"/>
            <w:vMerge w:val="restart"/>
            <w:tcBorders>
              <w:right w:val="double" w:sz="4" w:space="0" w:color="002060"/>
            </w:tcBorders>
            <w:vAlign w:val="center"/>
          </w:tcPr>
          <w:p w14:paraId="53866B3A" w14:textId="522667CE" w:rsidR="00DC0B6D" w:rsidRPr="00B933C3" w:rsidRDefault="0014797E" w:rsidP="0014797E">
            <w:pPr>
              <w:spacing w:before="40" w:after="40" w:line="278" w:lineRule="auto"/>
              <w:cnfStyle w:val="000000100000" w:firstRow="0" w:lastRow="0" w:firstColumn="0" w:lastColumn="0" w:oddVBand="0" w:evenVBand="0" w:oddHBand="1" w:evenHBand="0" w:firstRowFirstColumn="0" w:firstRowLastColumn="0" w:lastRowFirstColumn="0" w:lastRowLastColumn="0"/>
              <w:rPr>
                <w:rFonts w:ascii="Selawik" w:hAnsi="Selawik"/>
                <w:bCs/>
                <w:color w:val="002060"/>
                <w:sz w:val="21"/>
                <w:szCs w:val="21"/>
              </w:rPr>
            </w:pPr>
            <w:r>
              <w:rPr>
                <w:rFonts w:ascii="Selawik" w:hAnsi="Selawik"/>
                <w:bCs/>
                <w:color w:val="002060"/>
                <w:sz w:val="21"/>
                <w:szCs w:val="21"/>
              </w:rPr>
              <w:t>T</w:t>
            </w:r>
            <w:r w:rsidRPr="0014797E">
              <w:rPr>
                <w:rFonts w:ascii="Selawik" w:hAnsi="Selawik"/>
                <w:bCs/>
                <w:color w:val="002060"/>
                <w:sz w:val="21"/>
                <w:szCs w:val="21"/>
              </w:rPr>
              <w:t xml:space="preserve">errains en propriété et terrains en foretage </w:t>
            </w:r>
            <w:r>
              <w:rPr>
                <w:rFonts w:ascii="Selawik" w:hAnsi="Selawik"/>
                <w:bCs/>
                <w:color w:val="002060"/>
                <w:sz w:val="21"/>
                <w:szCs w:val="21"/>
              </w:rPr>
              <w:t>par</w:t>
            </w:r>
            <w:r w:rsidR="0059170A">
              <w:rPr>
                <w:rFonts w:ascii="Selawik" w:hAnsi="Selawik"/>
                <w:bCs/>
                <w:color w:val="002060"/>
                <w:sz w:val="21"/>
                <w:szCs w:val="21"/>
              </w:rPr>
              <w:t xml:space="preserve"> EQIOM</w:t>
            </w:r>
            <w:r w:rsidR="00DC0B6D" w:rsidRPr="00B933C3">
              <w:rPr>
                <w:rFonts w:ascii="Selawik" w:hAnsi="Selawik"/>
                <w:bCs/>
                <w:color w:val="002060"/>
                <w:sz w:val="21"/>
                <w:szCs w:val="21"/>
              </w:rPr>
              <w:t xml:space="preserve"> Granulats</w:t>
            </w:r>
          </w:p>
        </w:tc>
        <w:tc>
          <w:tcPr>
            <w:tcW w:w="1385" w:type="pct"/>
            <w:tcBorders>
              <w:right w:val="double" w:sz="4" w:space="0" w:color="002060"/>
            </w:tcBorders>
            <w:vAlign w:val="center"/>
          </w:tcPr>
          <w:p w14:paraId="012FC279" w14:textId="5F501E26" w:rsidR="00DC0B6D" w:rsidRPr="00B933C3" w:rsidRDefault="003E0337"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61 593</w:t>
            </w:r>
          </w:p>
        </w:tc>
        <w:tc>
          <w:tcPr>
            <w:tcW w:w="1436" w:type="pct"/>
            <w:tcBorders>
              <w:right w:val="double" w:sz="4" w:space="0" w:color="002060"/>
            </w:tcBorders>
            <w:vAlign w:val="center"/>
          </w:tcPr>
          <w:p w14:paraId="0E8858B6" w14:textId="1FA18D85" w:rsidR="00DC0B6D" w:rsidRPr="00B933C3" w:rsidRDefault="003E0337"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61 593</w:t>
            </w:r>
          </w:p>
        </w:tc>
        <w:tc>
          <w:tcPr>
            <w:tcW w:w="475" w:type="pct"/>
            <w:tcBorders>
              <w:right w:val="double" w:sz="4" w:space="0" w:color="002060"/>
            </w:tcBorders>
            <w:vAlign w:val="center"/>
          </w:tcPr>
          <w:p w14:paraId="0D2815C0" w14:textId="4ECA35CB" w:rsidR="00DC0B6D"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100</w:t>
            </w:r>
          </w:p>
        </w:tc>
      </w:tr>
      <w:tr w:rsidR="001B2B03" w:rsidRPr="00B933C3" w14:paraId="4C797DAB" w14:textId="55D728E9" w:rsidTr="00956B0F">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4B809BE2" w14:textId="51E548D3"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0141</w:t>
            </w:r>
          </w:p>
        </w:tc>
        <w:tc>
          <w:tcPr>
            <w:tcW w:w="881" w:type="pct"/>
            <w:vMerge/>
            <w:tcBorders>
              <w:right w:val="double" w:sz="4" w:space="0" w:color="002060"/>
            </w:tcBorders>
            <w:vAlign w:val="center"/>
          </w:tcPr>
          <w:p w14:paraId="1FE9193A" w14:textId="6CDBEB98"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787FBD4B" w14:textId="533CC361"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5 554</w:t>
            </w:r>
          </w:p>
        </w:tc>
        <w:tc>
          <w:tcPr>
            <w:tcW w:w="1436" w:type="pct"/>
            <w:tcBorders>
              <w:right w:val="double" w:sz="4" w:space="0" w:color="002060"/>
            </w:tcBorders>
            <w:vAlign w:val="center"/>
          </w:tcPr>
          <w:p w14:paraId="20C9AFB9" w14:textId="472FEDCD"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5 554</w:t>
            </w:r>
          </w:p>
        </w:tc>
        <w:tc>
          <w:tcPr>
            <w:tcW w:w="475" w:type="pct"/>
            <w:tcBorders>
              <w:right w:val="double" w:sz="4" w:space="0" w:color="002060"/>
            </w:tcBorders>
            <w:vAlign w:val="center"/>
          </w:tcPr>
          <w:p w14:paraId="3A495B65" w14:textId="5D4261A7" w:rsidR="001B2B03" w:rsidRPr="00B933C3" w:rsidRDefault="009D52AA"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100</w:t>
            </w:r>
          </w:p>
        </w:tc>
      </w:tr>
      <w:tr w:rsidR="001B2B03" w:rsidRPr="00B933C3" w14:paraId="73762349" w14:textId="2B4408FC" w:rsidTr="00956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bottom w:val="single" w:sz="4" w:space="0" w:color="8EAADB" w:themeColor="accent5" w:themeTint="99"/>
            </w:tcBorders>
            <w:vAlign w:val="center"/>
          </w:tcPr>
          <w:p w14:paraId="6BD6DA6A" w14:textId="00AD5F14"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0142</w:t>
            </w:r>
          </w:p>
        </w:tc>
        <w:tc>
          <w:tcPr>
            <w:tcW w:w="881" w:type="pct"/>
            <w:vMerge/>
            <w:tcBorders>
              <w:right w:val="double" w:sz="4" w:space="0" w:color="002060"/>
            </w:tcBorders>
            <w:vAlign w:val="center"/>
          </w:tcPr>
          <w:p w14:paraId="2F4B367D" w14:textId="4BEA2346"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p>
        </w:tc>
        <w:tc>
          <w:tcPr>
            <w:tcW w:w="1385" w:type="pct"/>
            <w:tcBorders>
              <w:bottom w:val="single" w:sz="4" w:space="0" w:color="8EAADB" w:themeColor="accent5" w:themeTint="99"/>
              <w:right w:val="double" w:sz="4" w:space="0" w:color="002060"/>
            </w:tcBorders>
            <w:vAlign w:val="center"/>
          </w:tcPr>
          <w:p w14:paraId="7B233C29" w14:textId="05AE49BA"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10 539</w:t>
            </w:r>
          </w:p>
        </w:tc>
        <w:tc>
          <w:tcPr>
            <w:tcW w:w="1436" w:type="pct"/>
            <w:tcBorders>
              <w:bottom w:val="single" w:sz="4" w:space="0" w:color="8EAADB" w:themeColor="accent5" w:themeTint="99"/>
              <w:right w:val="double" w:sz="4" w:space="0" w:color="002060"/>
            </w:tcBorders>
            <w:vAlign w:val="center"/>
          </w:tcPr>
          <w:p w14:paraId="2F4BE429" w14:textId="14C2B6C7"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10 539</w:t>
            </w:r>
          </w:p>
        </w:tc>
        <w:tc>
          <w:tcPr>
            <w:tcW w:w="475" w:type="pct"/>
            <w:tcBorders>
              <w:bottom w:val="single" w:sz="4" w:space="0" w:color="8EAADB" w:themeColor="accent5" w:themeTint="99"/>
              <w:right w:val="double" w:sz="4" w:space="0" w:color="002060"/>
            </w:tcBorders>
            <w:vAlign w:val="center"/>
          </w:tcPr>
          <w:p w14:paraId="6C197679" w14:textId="7FFAE3E8" w:rsidR="001B2B03"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100</w:t>
            </w:r>
          </w:p>
        </w:tc>
      </w:tr>
      <w:tr w:rsidR="001B2B03" w:rsidRPr="00B933C3" w14:paraId="6B230C75" w14:textId="27E2F260" w:rsidTr="00956B0F">
        <w:tc>
          <w:tcPr>
            <w:cnfStyle w:val="001000000000" w:firstRow="0" w:lastRow="0" w:firstColumn="1" w:lastColumn="0" w:oddVBand="0" w:evenVBand="0" w:oddHBand="0" w:evenHBand="0" w:firstRowFirstColumn="0" w:firstRowLastColumn="0" w:lastRowFirstColumn="0" w:lastRowLastColumn="0"/>
            <w:tcW w:w="823" w:type="pct"/>
            <w:tcBorders>
              <w:top w:val="single" w:sz="4" w:space="0" w:color="8EAADB" w:themeColor="accent5" w:themeTint="99"/>
              <w:left w:val="double" w:sz="4" w:space="0" w:color="002060"/>
            </w:tcBorders>
            <w:vAlign w:val="center"/>
          </w:tcPr>
          <w:p w14:paraId="7DA2EF7C" w14:textId="31BED682"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0143</w:t>
            </w:r>
          </w:p>
        </w:tc>
        <w:tc>
          <w:tcPr>
            <w:tcW w:w="881" w:type="pct"/>
            <w:vMerge/>
            <w:tcBorders>
              <w:right w:val="double" w:sz="4" w:space="0" w:color="002060"/>
            </w:tcBorders>
            <w:vAlign w:val="center"/>
          </w:tcPr>
          <w:p w14:paraId="64E61E3E" w14:textId="70581469"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p>
        </w:tc>
        <w:tc>
          <w:tcPr>
            <w:tcW w:w="1385" w:type="pct"/>
            <w:tcBorders>
              <w:top w:val="single" w:sz="4" w:space="0" w:color="8EAADB" w:themeColor="accent5" w:themeTint="99"/>
              <w:right w:val="double" w:sz="4" w:space="0" w:color="002060"/>
            </w:tcBorders>
            <w:vAlign w:val="center"/>
          </w:tcPr>
          <w:p w14:paraId="3ABBE8F8" w14:textId="41179EAF"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68 001</w:t>
            </w:r>
          </w:p>
        </w:tc>
        <w:tc>
          <w:tcPr>
            <w:tcW w:w="1436" w:type="pct"/>
            <w:tcBorders>
              <w:top w:val="single" w:sz="4" w:space="0" w:color="8EAADB" w:themeColor="accent5" w:themeTint="99"/>
              <w:right w:val="double" w:sz="4" w:space="0" w:color="002060"/>
            </w:tcBorders>
            <w:vAlign w:val="center"/>
          </w:tcPr>
          <w:p w14:paraId="066E61D6" w14:textId="0CEAB9F3"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68 001</w:t>
            </w:r>
          </w:p>
        </w:tc>
        <w:tc>
          <w:tcPr>
            <w:tcW w:w="475" w:type="pct"/>
            <w:tcBorders>
              <w:top w:val="single" w:sz="4" w:space="0" w:color="8EAADB" w:themeColor="accent5" w:themeTint="99"/>
              <w:right w:val="double" w:sz="4" w:space="0" w:color="002060"/>
            </w:tcBorders>
            <w:vAlign w:val="center"/>
          </w:tcPr>
          <w:p w14:paraId="48790E70" w14:textId="370131D1" w:rsidR="001B2B03" w:rsidRPr="00B933C3" w:rsidRDefault="009D52AA"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100</w:t>
            </w:r>
          </w:p>
        </w:tc>
      </w:tr>
      <w:tr w:rsidR="001B2B03" w:rsidRPr="00B933C3" w14:paraId="10FA9CD7" w14:textId="672BB60D" w:rsidTr="00956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top w:val="single" w:sz="4" w:space="0" w:color="8EAADB" w:themeColor="accent5" w:themeTint="99"/>
              <w:left w:val="double" w:sz="4" w:space="0" w:color="002060"/>
            </w:tcBorders>
            <w:vAlign w:val="center"/>
          </w:tcPr>
          <w:p w14:paraId="3AA1DFD6" w14:textId="36FDA7DA"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0160</w:t>
            </w:r>
          </w:p>
        </w:tc>
        <w:tc>
          <w:tcPr>
            <w:tcW w:w="881" w:type="pct"/>
            <w:vMerge/>
            <w:tcBorders>
              <w:right w:val="double" w:sz="4" w:space="0" w:color="002060"/>
            </w:tcBorders>
            <w:vAlign w:val="center"/>
          </w:tcPr>
          <w:p w14:paraId="6F14EDFB" w14:textId="7E13F421"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p>
        </w:tc>
        <w:tc>
          <w:tcPr>
            <w:tcW w:w="1385" w:type="pct"/>
            <w:tcBorders>
              <w:top w:val="single" w:sz="4" w:space="0" w:color="8EAADB" w:themeColor="accent5" w:themeTint="99"/>
              <w:right w:val="double" w:sz="4" w:space="0" w:color="002060"/>
            </w:tcBorders>
            <w:vAlign w:val="center"/>
          </w:tcPr>
          <w:p w14:paraId="5953F959" w14:textId="400B8822"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33 110</w:t>
            </w:r>
          </w:p>
        </w:tc>
        <w:tc>
          <w:tcPr>
            <w:tcW w:w="1436" w:type="pct"/>
            <w:tcBorders>
              <w:top w:val="single" w:sz="4" w:space="0" w:color="8EAADB" w:themeColor="accent5" w:themeTint="99"/>
              <w:right w:val="double" w:sz="4" w:space="0" w:color="002060"/>
            </w:tcBorders>
            <w:vAlign w:val="center"/>
          </w:tcPr>
          <w:p w14:paraId="0B9590B9" w14:textId="23EC67F6"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33 110</w:t>
            </w:r>
          </w:p>
        </w:tc>
        <w:tc>
          <w:tcPr>
            <w:tcW w:w="475" w:type="pct"/>
            <w:tcBorders>
              <w:top w:val="single" w:sz="4" w:space="0" w:color="8EAADB" w:themeColor="accent5" w:themeTint="99"/>
              <w:right w:val="double" w:sz="4" w:space="0" w:color="002060"/>
            </w:tcBorders>
            <w:vAlign w:val="center"/>
          </w:tcPr>
          <w:p w14:paraId="12F408FC" w14:textId="0871DD52" w:rsidR="001B2B03"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100</w:t>
            </w:r>
          </w:p>
        </w:tc>
      </w:tr>
      <w:tr w:rsidR="001B2B03" w:rsidRPr="00B933C3" w14:paraId="790F2252" w14:textId="3709737B" w:rsidTr="00956B0F">
        <w:tc>
          <w:tcPr>
            <w:cnfStyle w:val="001000000000" w:firstRow="0" w:lastRow="0" w:firstColumn="1" w:lastColumn="0" w:oddVBand="0" w:evenVBand="0" w:oddHBand="0" w:evenHBand="0" w:firstRowFirstColumn="0" w:firstRowLastColumn="0" w:lastRowFirstColumn="0" w:lastRowLastColumn="0"/>
            <w:tcW w:w="823" w:type="pct"/>
            <w:tcBorders>
              <w:top w:val="single" w:sz="4" w:space="0" w:color="8EAADB" w:themeColor="accent5" w:themeTint="99"/>
              <w:left w:val="double" w:sz="4" w:space="0" w:color="002060"/>
            </w:tcBorders>
            <w:vAlign w:val="center"/>
          </w:tcPr>
          <w:p w14:paraId="795F91E2" w14:textId="1993FFF2"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0161</w:t>
            </w:r>
          </w:p>
        </w:tc>
        <w:tc>
          <w:tcPr>
            <w:tcW w:w="881" w:type="pct"/>
            <w:vMerge/>
            <w:tcBorders>
              <w:right w:val="double" w:sz="4" w:space="0" w:color="002060"/>
            </w:tcBorders>
            <w:vAlign w:val="center"/>
          </w:tcPr>
          <w:p w14:paraId="626C8AA1" w14:textId="5E899D15"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p>
        </w:tc>
        <w:tc>
          <w:tcPr>
            <w:tcW w:w="1385" w:type="pct"/>
            <w:tcBorders>
              <w:top w:val="single" w:sz="4" w:space="0" w:color="8EAADB" w:themeColor="accent5" w:themeTint="99"/>
              <w:right w:val="double" w:sz="4" w:space="0" w:color="002060"/>
            </w:tcBorders>
            <w:vAlign w:val="center"/>
          </w:tcPr>
          <w:p w14:paraId="40BF2C0B" w14:textId="5E8364B6"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104 774</w:t>
            </w:r>
          </w:p>
        </w:tc>
        <w:tc>
          <w:tcPr>
            <w:tcW w:w="1436" w:type="pct"/>
            <w:tcBorders>
              <w:top w:val="single" w:sz="4" w:space="0" w:color="8EAADB" w:themeColor="accent5" w:themeTint="99"/>
              <w:right w:val="double" w:sz="4" w:space="0" w:color="002060"/>
            </w:tcBorders>
            <w:vAlign w:val="center"/>
          </w:tcPr>
          <w:p w14:paraId="6C90D7C3" w14:textId="5036ADDA"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41 220</w:t>
            </w:r>
          </w:p>
        </w:tc>
        <w:tc>
          <w:tcPr>
            <w:tcW w:w="475" w:type="pct"/>
            <w:tcBorders>
              <w:top w:val="single" w:sz="4" w:space="0" w:color="8EAADB" w:themeColor="accent5" w:themeTint="99"/>
              <w:right w:val="double" w:sz="4" w:space="0" w:color="002060"/>
            </w:tcBorders>
            <w:vAlign w:val="center"/>
          </w:tcPr>
          <w:p w14:paraId="009FF78D" w14:textId="17216295" w:rsidR="001B2B03" w:rsidRPr="00B933C3" w:rsidRDefault="009D52AA"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39.3</w:t>
            </w:r>
          </w:p>
        </w:tc>
      </w:tr>
      <w:tr w:rsidR="001B2B03" w:rsidRPr="00B933C3" w14:paraId="52B53934" w14:textId="13E882BD" w:rsidTr="00956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54A489D7" w14:textId="57546C87"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0182</w:t>
            </w:r>
          </w:p>
        </w:tc>
        <w:tc>
          <w:tcPr>
            <w:tcW w:w="881" w:type="pct"/>
            <w:vMerge/>
            <w:tcBorders>
              <w:right w:val="double" w:sz="4" w:space="0" w:color="002060"/>
            </w:tcBorders>
            <w:vAlign w:val="center"/>
          </w:tcPr>
          <w:p w14:paraId="4748E63B" w14:textId="605C1BA6"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63033C5F" w14:textId="2B4AE62B"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19 703</w:t>
            </w:r>
          </w:p>
        </w:tc>
        <w:tc>
          <w:tcPr>
            <w:tcW w:w="1436" w:type="pct"/>
            <w:tcBorders>
              <w:right w:val="double" w:sz="4" w:space="0" w:color="002060"/>
            </w:tcBorders>
            <w:vAlign w:val="center"/>
          </w:tcPr>
          <w:p w14:paraId="4FF66248" w14:textId="7CDDA7D1"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2 950</w:t>
            </w:r>
          </w:p>
        </w:tc>
        <w:tc>
          <w:tcPr>
            <w:tcW w:w="475" w:type="pct"/>
            <w:tcBorders>
              <w:right w:val="double" w:sz="4" w:space="0" w:color="002060"/>
            </w:tcBorders>
            <w:vAlign w:val="center"/>
          </w:tcPr>
          <w:p w14:paraId="59EC4E13" w14:textId="2D0C6129" w:rsidR="001B2B03"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15.0</w:t>
            </w:r>
          </w:p>
        </w:tc>
      </w:tr>
      <w:tr w:rsidR="001B2B03" w:rsidRPr="00B933C3" w14:paraId="06EC1529" w14:textId="597C03D5" w:rsidTr="00956B0F">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44CC67B1" w14:textId="4772EEB0"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0183</w:t>
            </w:r>
          </w:p>
        </w:tc>
        <w:tc>
          <w:tcPr>
            <w:tcW w:w="881" w:type="pct"/>
            <w:vMerge/>
            <w:tcBorders>
              <w:right w:val="double" w:sz="4" w:space="0" w:color="002060"/>
            </w:tcBorders>
            <w:vAlign w:val="center"/>
          </w:tcPr>
          <w:p w14:paraId="38C20950" w14:textId="489D9428"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5F89C2A1" w14:textId="7A04BE27"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20 096</w:t>
            </w:r>
          </w:p>
        </w:tc>
        <w:tc>
          <w:tcPr>
            <w:tcW w:w="1436" w:type="pct"/>
            <w:tcBorders>
              <w:right w:val="double" w:sz="4" w:space="0" w:color="002060"/>
            </w:tcBorders>
            <w:vAlign w:val="center"/>
          </w:tcPr>
          <w:p w14:paraId="42D38548" w14:textId="584C2DE2" w:rsidR="001B2B03" w:rsidRPr="00B933C3" w:rsidRDefault="00517991"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4 773</w:t>
            </w:r>
          </w:p>
        </w:tc>
        <w:tc>
          <w:tcPr>
            <w:tcW w:w="475" w:type="pct"/>
            <w:tcBorders>
              <w:right w:val="double" w:sz="4" w:space="0" w:color="002060"/>
            </w:tcBorders>
            <w:vAlign w:val="center"/>
          </w:tcPr>
          <w:p w14:paraId="05ABEB22" w14:textId="647E3931" w:rsidR="001B2B03" w:rsidRPr="00B933C3" w:rsidRDefault="009D52AA"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23.8</w:t>
            </w:r>
          </w:p>
        </w:tc>
      </w:tr>
      <w:tr w:rsidR="001B2B03" w:rsidRPr="00B933C3" w14:paraId="254B6302" w14:textId="2F682848" w:rsidTr="00956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2CD867AD" w14:textId="43C81295"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0184</w:t>
            </w:r>
          </w:p>
        </w:tc>
        <w:tc>
          <w:tcPr>
            <w:tcW w:w="881" w:type="pct"/>
            <w:vMerge/>
            <w:tcBorders>
              <w:right w:val="double" w:sz="4" w:space="0" w:color="002060"/>
            </w:tcBorders>
            <w:vAlign w:val="center"/>
          </w:tcPr>
          <w:p w14:paraId="050E2B66" w14:textId="77777777"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0BA3897A" w14:textId="490028CD"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49 640</w:t>
            </w:r>
          </w:p>
        </w:tc>
        <w:tc>
          <w:tcPr>
            <w:tcW w:w="1436" w:type="pct"/>
            <w:tcBorders>
              <w:right w:val="double" w:sz="4" w:space="0" w:color="002060"/>
            </w:tcBorders>
            <w:vAlign w:val="center"/>
          </w:tcPr>
          <w:p w14:paraId="1BDDC140" w14:textId="5436EEAD" w:rsidR="001B2B03"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36 310</w:t>
            </w:r>
          </w:p>
        </w:tc>
        <w:tc>
          <w:tcPr>
            <w:tcW w:w="475" w:type="pct"/>
            <w:tcBorders>
              <w:right w:val="double" w:sz="4" w:space="0" w:color="002060"/>
            </w:tcBorders>
            <w:vAlign w:val="center"/>
          </w:tcPr>
          <w:p w14:paraId="49DE1D16" w14:textId="224E125F" w:rsidR="001B2B03"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73.1</w:t>
            </w:r>
          </w:p>
        </w:tc>
      </w:tr>
      <w:tr w:rsidR="001B2B03" w:rsidRPr="00B933C3" w14:paraId="00ED188D" w14:textId="690EA10B" w:rsidTr="00956B0F">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2D991D18" w14:textId="2F8CDF93"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0185</w:t>
            </w:r>
          </w:p>
        </w:tc>
        <w:tc>
          <w:tcPr>
            <w:tcW w:w="881" w:type="pct"/>
            <w:vMerge/>
            <w:tcBorders>
              <w:right w:val="double" w:sz="4" w:space="0" w:color="002060"/>
            </w:tcBorders>
            <w:vAlign w:val="center"/>
          </w:tcPr>
          <w:p w14:paraId="65FDFFAD" w14:textId="77777777"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5C468782" w14:textId="0C62D98F"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37 417</w:t>
            </w:r>
          </w:p>
        </w:tc>
        <w:tc>
          <w:tcPr>
            <w:tcW w:w="1436" w:type="pct"/>
            <w:tcBorders>
              <w:right w:val="double" w:sz="4" w:space="0" w:color="002060"/>
            </w:tcBorders>
            <w:vAlign w:val="center"/>
          </w:tcPr>
          <w:p w14:paraId="18C96324" w14:textId="79C56E9B" w:rsidR="001B2B03" w:rsidRPr="00B933C3" w:rsidRDefault="00517991"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37 417</w:t>
            </w:r>
          </w:p>
        </w:tc>
        <w:tc>
          <w:tcPr>
            <w:tcW w:w="475" w:type="pct"/>
            <w:tcBorders>
              <w:right w:val="double" w:sz="4" w:space="0" w:color="002060"/>
            </w:tcBorders>
            <w:vAlign w:val="center"/>
          </w:tcPr>
          <w:p w14:paraId="71450AD8" w14:textId="497B8F71" w:rsidR="001B2B03" w:rsidRPr="00B933C3" w:rsidRDefault="009D52AA"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100</w:t>
            </w:r>
          </w:p>
        </w:tc>
      </w:tr>
      <w:tr w:rsidR="001B2B03" w:rsidRPr="00B933C3" w14:paraId="310825AC" w14:textId="00BDF73C" w:rsidTr="00956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7FEB7E74" w14:textId="383CA891"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0186</w:t>
            </w:r>
          </w:p>
        </w:tc>
        <w:tc>
          <w:tcPr>
            <w:tcW w:w="881" w:type="pct"/>
            <w:vMerge/>
            <w:tcBorders>
              <w:right w:val="double" w:sz="4" w:space="0" w:color="002060"/>
            </w:tcBorders>
            <w:vAlign w:val="center"/>
          </w:tcPr>
          <w:p w14:paraId="085F16BD" w14:textId="77777777"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42F80808" w14:textId="2B35A8F9"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12 353</w:t>
            </w:r>
          </w:p>
        </w:tc>
        <w:tc>
          <w:tcPr>
            <w:tcW w:w="1436" w:type="pct"/>
            <w:tcBorders>
              <w:right w:val="double" w:sz="4" w:space="0" w:color="002060"/>
            </w:tcBorders>
            <w:vAlign w:val="center"/>
          </w:tcPr>
          <w:p w14:paraId="4058FDA9" w14:textId="740DC8FD"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 xml:space="preserve">0 </w:t>
            </w:r>
            <w:r w:rsidRPr="00B933C3">
              <w:rPr>
                <w:rFonts w:ascii="Selawik" w:hAnsi="Selawik"/>
                <w:color w:val="002060"/>
                <w:sz w:val="28"/>
                <w:szCs w:val="28"/>
              </w:rPr>
              <w:t>*</w:t>
            </w:r>
          </w:p>
        </w:tc>
        <w:tc>
          <w:tcPr>
            <w:tcW w:w="475" w:type="pct"/>
            <w:tcBorders>
              <w:right w:val="double" w:sz="4" w:space="0" w:color="002060"/>
            </w:tcBorders>
            <w:vAlign w:val="center"/>
          </w:tcPr>
          <w:p w14:paraId="12C26887" w14:textId="09E2224B" w:rsidR="001B2B03" w:rsidRPr="00B933C3" w:rsidRDefault="001B2B03"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w:t>
            </w:r>
          </w:p>
        </w:tc>
      </w:tr>
      <w:tr w:rsidR="001B2B03" w:rsidRPr="00B933C3" w14:paraId="44BD19B9" w14:textId="4730D192" w:rsidTr="00956B0F">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4D3E7147" w14:textId="222AC75C" w:rsidR="001B2B03" w:rsidRPr="00B933C3" w:rsidRDefault="001B2B03"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0187</w:t>
            </w:r>
          </w:p>
        </w:tc>
        <w:tc>
          <w:tcPr>
            <w:tcW w:w="881" w:type="pct"/>
            <w:vMerge/>
            <w:tcBorders>
              <w:right w:val="double" w:sz="4" w:space="0" w:color="002060"/>
            </w:tcBorders>
            <w:vAlign w:val="center"/>
          </w:tcPr>
          <w:p w14:paraId="6F8C93EC" w14:textId="77777777"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7F13AA7C" w14:textId="7D679CC9"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15 168</w:t>
            </w:r>
          </w:p>
        </w:tc>
        <w:tc>
          <w:tcPr>
            <w:tcW w:w="1436" w:type="pct"/>
            <w:tcBorders>
              <w:right w:val="double" w:sz="4" w:space="0" w:color="002060"/>
            </w:tcBorders>
            <w:vAlign w:val="center"/>
          </w:tcPr>
          <w:p w14:paraId="30804AAA" w14:textId="3B42B9E4"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 xml:space="preserve">0 </w:t>
            </w:r>
            <w:r w:rsidRPr="00B933C3">
              <w:rPr>
                <w:rFonts w:ascii="Selawik" w:hAnsi="Selawik"/>
                <w:color w:val="002060"/>
                <w:sz w:val="28"/>
                <w:szCs w:val="28"/>
              </w:rPr>
              <w:t>*</w:t>
            </w:r>
          </w:p>
        </w:tc>
        <w:tc>
          <w:tcPr>
            <w:tcW w:w="475" w:type="pct"/>
            <w:tcBorders>
              <w:right w:val="double" w:sz="4" w:space="0" w:color="002060"/>
            </w:tcBorders>
            <w:vAlign w:val="center"/>
          </w:tcPr>
          <w:p w14:paraId="36E49ACE" w14:textId="434A4F25" w:rsidR="001B2B03" w:rsidRPr="00B933C3" w:rsidRDefault="001B2B03"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w:t>
            </w:r>
          </w:p>
        </w:tc>
      </w:tr>
      <w:tr w:rsidR="00517991" w:rsidRPr="00B933C3" w14:paraId="0C423789" w14:textId="7B139B03" w:rsidTr="00956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0647B675" w14:textId="66ECA4AB" w:rsidR="00517991" w:rsidRPr="00B933C3" w:rsidRDefault="00517991"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0189</w:t>
            </w:r>
          </w:p>
        </w:tc>
        <w:tc>
          <w:tcPr>
            <w:tcW w:w="881" w:type="pct"/>
            <w:vMerge/>
            <w:tcBorders>
              <w:right w:val="double" w:sz="4" w:space="0" w:color="002060"/>
            </w:tcBorders>
            <w:vAlign w:val="center"/>
          </w:tcPr>
          <w:p w14:paraId="082F5ABC" w14:textId="77777777" w:rsidR="00517991"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1BB88291" w14:textId="304518A8" w:rsidR="00517991"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46 440</w:t>
            </w:r>
          </w:p>
        </w:tc>
        <w:tc>
          <w:tcPr>
            <w:tcW w:w="1436" w:type="pct"/>
            <w:tcBorders>
              <w:right w:val="double" w:sz="4" w:space="0" w:color="002060"/>
            </w:tcBorders>
            <w:vAlign w:val="center"/>
          </w:tcPr>
          <w:p w14:paraId="1075A4DC" w14:textId="07AFB5E0" w:rsidR="00517991"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46 440</w:t>
            </w:r>
          </w:p>
        </w:tc>
        <w:tc>
          <w:tcPr>
            <w:tcW w:w="475" w:type="pct"/>
            <w:tcBorders>
              <w:right w:val="double" w:sz="4" w:space="0" w:color="002060"/>
            </w:tcBorders>
            <w:vAlign w:val="center"/>
          </w:tcPr>
          <w:p w14:paraId="3A2EBB8D" w14:textId="2FF9CD45" w:rsidR="00517991"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100</w:t>
            </w:r>
          </w:p>
        </w:tc>
      </w:tr>
      <w:tr w:rsidR="00517991" w:rsidRPr="00B933C3" w14:paraId="0F3D3E79" w14:textId="2DDDD4A2" w:rsidTr="00956B0F">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28A4FD21" w14:textId="623A5378" w:rsidR="00517991" w:rsidRPr="00B933C3" w:rsidRDefault="00517991"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0190</w:t>
            </w:r>
          </w:p>
        </w:tc>
        <w:tc>
          <w:tcPr>
            <w:tcW w:w="881" w:type="pct"/>
            <w:vMerge/>
            <w:tcBorders>
              <w:right w:val="double" w:sz="4" w:space="0" w:color="002060"/>
            </w:tcBorders>
            <w:vAlign w:val="center"/>
          </w:tcPr>
          <w:p w14:paraId="5C8FB2E1" w14:textId="77777777" w:rsidR="00517991" w:rsidRPr="00B933C3" w:rsidRDefault="00517991"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0FCE3E0E" w14:textId="3FD16D70" w:rsidR="00517991" w:rsidRPr="00B933C3" w:rsidRDefault="00517991"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8 008</w:t>
            </w:r>
          </w:p>
        </w:tc>
        <w:tc>
          <w:tcPr>
            <w:tcW w:w="1436" w:type="pct"/>
            <w:tcBorders>
              <w:right w:val="double" w:sz="4" w:space="0" w:color="002060"/>
            </w:tcBorders>
            <w:vAlign w:val="center"/>
          </w:tcPr>
          <w:p w14:paraId="762F4A2B" w14:textId="7AE11655" w:rsidR="00517991" w:rsidRPr="00B933C3" w:rsidRDefault="00517991"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8 008</w:t>
            </w:r>
          </w:p>
        </w:tc>
        <w:tc>
          <w:tcPr>
            <w:tcW w:w="475" w:type="pct"/>
            <w:tcBorders>
              <w:right w:val="double" w:sz="4" w:space="0" w:color="002060"/>
            </w:tcBorders>
            <w:vAlign w:val="center"/>
          </w:tcPr>
          <w:p w14:paraId="32331E79" w14:textId="741CC0BD" w:rsidR="00517991" w:rsidRPr="00B933C3" w:rsidRDefault="009D52AA"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100</w:t>
            </w:r>
          </w:p>
        </w:tc>
      </w:tr>
      <w:tr w:rsidR="00517991" w:rsidRPr="00B933C3" w14:paraId="0D066E03" w14:textId="6E24D6B4" w:rsidTr="00956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0287959F" w14:textId="003D776A" w:rsidR="00517991" w:rsidRPr="00B933C3" w:rsidRDefault="00517991"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0191</w:t>
            </w:r>
          </w:p>
        </w:tc>
        <w:tc>
          <w:tcPr>
            <w:tcW w:w="881" w:type="pct"/>
            <w:vMerge/>
            <w:tcBorders>
              <w:right w:val="double" w:sz="4" w:space="0" w:color="002060"/>
            </w:tcBorders>
            <w:vAlign w:val="center"/>
          </w:tcPr>
          <w:p w14:paraId="2683AB89" w14:textId="77777777" w:rsidR="00517991"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24587825" w14:textId="1AE2B470" w:rsidR="00517991"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23 020</w:t>
            </w:r>
          </w:p>
        </w:tc>
        <w:tc>
          <w:tcPr>
            <w:tcW w:w="1436" w:type="pct"/>
            <w:tcBorders>
              <w:right w:val="double" w:sz="4" w:space="0" w:color="002060"/>
            </w:tcBorders>
            <w:vAlign w:val="center"/>
          </w:tcPr>
          <w:p w14:paraId="7105F7F5" w14:textId="2822B16B" w:rsidR="00517991"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23 020</w:t>
            </w:r>
          </w:p>
        </w:tc>
        <w:tc>
          <w:tcPr>
            <w:tcW w:w="475" w:type="pct"/>
            <w:tcBorders>
              <w:right w:val="double" w:sz="4" w:space="0" w:color="002060"/>
            </w:tcBorders>
            <w:vAlign w:val="center"/>
          </w:tcPr>
          <w:p w14:paraId="164DB3ED" w14:textId="4A65D9B1" w:rsidR="00517991"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100</w:t>
            </w:r>
          </w:p>
        </w:tc>
      </w:tr>
      <w:tr w:rsidR="00517991" w:rsidRPr="00B933C3" w14:paraId="4DCFB4D2" w14:textId="77777777" w:rsidTr="00956B0F">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4CD9E01F" w14:textId="370D7EAE" w:rsidR="00517991" w:rsidRPr="00B933C3" w:rsidRDefault="00517991"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0193</w:t>
            </w:r>
          </w:p>
        </w:tc>
        <w:tc>
          <w:tcPr>
            <w:tcW w:w="881" w:type="pct"/>
            <w:vMerge/>
            <w:tcBorders>
              <w:right w:val="double" w:sz="4" w:space="0" w:color="002060"/>
            </w:tcBorders>
            <w:vAlign w:val="center"/>
          </w:tcPr>
          <w:p w14:paraId="5D77ECE3" w14:textId="77777777" w:rsidR="00517991" w:rsidRPr="00B933C3" w:rsidRDefault="00517991"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5CC7A252" w14:textId="1D45B2DE" w:rsidR="00517991" w:rsidRPr="00B933C3" w:rsidRDefault="00106657"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35 265</w:t>
            </w:r>
          </w:p>
        </w:tc>
        <w:tc>
          <w:tcPr>
            <w:tcW w:w="1436" w:type="pct"/>
            <w:tcBorders>
              <w:right w:val="double" w:sz="4" w:space="0" w:color="002060"/>
            </w:tcBorders>
            <w:vAlign w:val="center"/>
          </w:tcPr>
          <w:p w14:paraId="71AB062B" w14:textId="10CD938B" w:rsidR="00517991" w:rsidRPr="00B933C3" w:rsidRDefault="00106657"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1 315</w:t>
            </w:r>
          </w:p>
        </w:tc>
        <w:tc>
          <w:tcPr>
            <w:tcW w:w="475" w:type="pct"/>
            <w:tcBorders>
              <w:right w:val="double" w:sz="4" w:space="0" w:color="002060"/>
            </w:tcBorders>
            <w:vAlign w:val="center"/>
          </w:tcPr>
          <w:p w14:paraId="49188C6B" w14:textId="3C419B4C" w:rsidR="00517991" w:rsidRPr="00B933C3" w:rsidRDefault="009D52AA"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3.7</w:t>
            </w:r>
          </w:p>
        </w:tc>
      </w:tr>
      <w:tr w:rsidR="00517991" w:rsidRPr="00B933C3" w14:paraId="61481860" w14:textId="3DFC3A61" w:rsidTr="00956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00080BB8" w14:textId="4DEC90D8" w:rsidR="00517991" w:rsidRPr="00B933C3" w:rsidRDefault="00517991"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AW 0194</w:t>
            </w:r>
          </w:p>
        </w:tc>
        <w:tc>
          <w:tcPr>
            <w:tcW w:w="881" w:type="pct"/>
            <w:vMerge/>
            <w:tcBorders>
              <w:right w:val="double" w:sz="4" w:space="0" w:color="002060"/>
            </w:tcBorders>
            <w:vAlign w:val="center"/>
          </w:tcPr>
          <w:p w14:paraId="4FB642FF" w14:textId="77777777" w:rsidR="00517991"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1E351079" w14:textId="3947CD9C" w:rsidR="00517991"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57 888</w:t>
            </w:r>
          </w:p>
        </w:tc>
        <w:tc>
          <w:tcPr>
            <w:tcW w:w="1436" w:type="pct"/>
            <w:tcBorders>
              <w:right w:val="double" w:sz="4" w:space="0" w:color="002060"/>
            </w:tcBorders>
            <w:vAlign w:val="center"/>
          </w:tcPr>
          <w:p w14:paraId="74C5BF48" w14:textId="28A28BC2" w:rsidR="00517991"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10 190</w:t>
            </w:r>
          </w:p>
        </w:tc>
        <w:tc>
          <w:tcPr>
            <w:tcW w:w="475" w:type="pct"/>
            <w:tcBorders>
              <w:right w:val="double" w:sz="4" w:space="0" w:color="002060"/>
            </w:tcBorders>
            <w:vAlign w:val="center"/>
          </w:tcPr>
          <w:p w14:paraId="10586652" w14:textId="7BE9FCC6" w:rsidR="00517991"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17.6</w:t>
            </w:r>
          </w:p>
        </w:tc>
      </w:tr>
      <w:tr w:rsidR="00106657" w:rsidRPr="00B933C3" w14:paraId="211AC0D2" w14:textId="77777777" w:rsidTr="00956B0F">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tcBorders>
            <w:vAlign w:val="center"/>
          </w:tcPr>
          <w:p w14:paraId="61D3E35E" w14:textId="101630E6" w:rsidR="00106657" w:rsidRPr="00B933C3" w:rsidRDefault="00106657" w:rsidP="00C846FC">
            <w:pPr>
              <w:spacing w:before="40" w:after="40" w:line="278" w:lineRule="auto"/>
              <w:jc w:val="center"/>
              <w:rPr>
                <w:rFonts w:ascii="Selawik" w:hAnsi="Selawik"/>
                <w:b w:val="0"/>
                <w:bCs w:val="0"/>
                <w:color w:val="002060"/>
                <w:sz w:val="21"/>
                <w:szCs w:val="21"/>
              </w:rPr>
            </w:pPr>
            <w:r w:rsidRPr="00B933C3">
              <w:rPr>
                <w:rFonts w:ascii="Selawik" w:hAnsi="Selawik"/>
                <w:b w:val="0"/>
                <w:bCs w:val="0"/>
                <w:color w:val="002060"/>
                <w:sz w:val="21"/>
                <w:szCs w:val="21"/>
              </w:rPr>
              <w:t xml:space="preserve">Chemin rural </w:t>
            </w:r>
          </w:p>
        </w:tc>
        <w:tc>
          <w:tcPr>
            <w:tcW w:w="881" w:type="pct"/>
            <w:tcBorders>
              <w:right w:val="double" w:sz="4" w:space="0" w:color="002060"/>
            </w:tcBorders>
            <w:vAlign w:val="center"/>
          </w:tcPr>
          <w:p w14:paraId="18C66C63" w14:textId="77777777" w:rsidR="00106657" w:rsidRPr="00B933C3" w:rsidRDefault="00106657"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p>
        </w:tc>
        <w:tc>
          <w:tcPr>
            <w:tcW w:w="1385" w:type="pct"/>
            <w:tcBorders>
              <w:right w:val="double" w:sz="4" w:space="0" w:color="002060"/>
            </w:tcBorders>
            <w:vAlign w:val="center"/>
          </w:tcPr>
          <w:p w14:paraId="0F38C046" w14:textId="3E5EA260" w:rsidR="00106657" w:rsidRPr="00B933C3" w:rsidRDefault="00106657"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w:t>
            </w:r>
          </w:p>
        </w:tc>
        <w:tc>
          <w:tcPr>
            <w:tcW w:w="1436" w:type="pct"/>
            <w:tcBorders>
              <w:right w:val="double" w:sz="4" w:space="0" w:color="002060"/>
            </w:tcBorders>
            <w:vAlign w:val="center"/>
          </w:tcPr>
          <w:p w14:paraId="0F34FAA6" w14:textId="6D105117" w:rsidR="00106657" w:rsidRPr="00B933C3" w:rsidRDefault="009D52AA"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3 600</w:t>
            </w:r>
          </w:p>
        </w:tc>
        <w:tc>
          <w:tcPr>
            <w:tcW w:w="475" w:type="pct"/>
            <w:tcBorders>
              <w:right w:val="double" w:sz="4" w:space="0" w:color="002060"/>
            </w:tcBorders>
            <w:vAlign w:val="center"/>
          </w:tcPr>
          <w:p w14:paraId="7E807523" w14:textId="2603DD89" w:rsidR="00106657" w:rsidRPr="00B933C3" w:rsidRDefault="009D52AA" w:rsidP="00C846FC">
            <w:pPr>
              <w:spacing w:before="40" w:after="40" w:line="278" w:lineRule="auto"/>
              <w:jc w:val="center"/>
              <w:cnfStyle w:val="000000000000" w:firstRow="0" w:lastRow="0" w:firstColumn="0" w:lastColumn="0" w:oddVBand="0" w:evenVBand="0" w:oddHBand="0"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w:t>
            </w:r>
          </w:p>
        </w:tc>
      </w:tr>
      <w:tr w:rsidR="00106657" w:rsidRPr="00B933C3" w14:paraId="39C12F10" w14:textId="2A5A0B6B" w:rsidTr="00956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Borders>
              <w:left w:val="double" w:sz="4" w:space="0" w:color="002060"/>
              <w:bottom w:val="double" w:sz="4" w:space="0" w:color="002060"/>
            </w:tcBorders>
            <w:vAlign w:val="center"/>
          </w:tcPr>
          <w:p w14:paraId="391662E5" w14:textId="77777777" w:rsidR="00517991" w:rsidRPr="00B933C3" w:rsidRDefault="00517991" w:rsidP="00C846FC">
            <w:pPr>
              <w:spacing w:before="40" w:after="40" w:line="278" w:lineRule="auto"/>
              <w:jc w:val="center"/>
              <w:rPr>
                <w:rFonts w:ascii="Selawik" w:hAnsi="Selawik"/>
                <w:b w:val="0"/>
                <w:bCs w:val="0"/>
                <w:color w:val="002060"/>
                <w:sz w:val="21"/>
                <w:szCs w:val="21"/>
              </w:rPr>
            </w:pPr>
            <w:r w:rsidRPr="00B933C3">
              <w:rPr>
                <w:rFonts w:ascii="Selawik" w:hAnsi="Selawik"/>
                <w:color w:val="002060"/>
                <w:sz w:val="21"/>
                <w:szCs w:val="21"/>
              </w:rPr>
              <w:t>TOTAL</w:t>
            </w:r>
          </w:p>
          <w:p w14:paraId="75CD2CBD" w14:textId="49390E34" w:rsidR="00517991" w:rsidRPr="00B933C3" w:rsidRDefault="00517991" w:rsidP="00C846FC">
            <w:pPr>
              <w:spacing w:before="40" w:after="40" w:line="278" w:lineRule="auto"/>
              <w:jc w:val="center"/>
              <w:rPr>
                <w:rFonts w:ascii="Selawik" w:hAnsi="Selawik"/>
                <w:color w:val="002060"/>
                <w:sz w:val="21"/>
                <w:szCs w:val="21"/>
              </w:rPr>
            </w:pPr>
            <w:r w:rsidRPr="00B933C3">
              <w:rPr>
                <w:rFonts w:ascii="Selawik" w:hAnsi="Selawik"/>
                <w:color w:val="002060"/>
                <w:sz w:val="21"/>
                <w:szCs w:val="21"/>
              </w:rPr>
              <w:t>17 parcelles</w:t>
            </w:r>
          </w:p>
        </w:tc>
        <w:tc>
          <w:tcPr>
            <w:tcW w:w="881" w:type="pct"/>
            <w:tcBorders>
              <w:bottom w:val="double" w:sz="4" w:space="0" w:color="002060"/>
              <w:right w:val="double" w:sz="4" w:space="0" w:color="002060"/>
            </w:tcBorders>
            <w:vAlign w:val="center"/>
          </w:tcPr>
          <w:p w14:paraId="5B3A4DE3" w14:textId="74516C1F" w:rsidR="00517991" w:rsidRPr="00B933C3" w:rsidRDefault="00517991"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100%</w:t>
            </w:r>
          </w:p>
        </w:tc>
        <w:tc>
          <w:tcPr>
            <w:tcW w:w="1385" w:type="pct"/>
            <w:tcBorders>
              <w:bottom w:val="double" w:sz="4" w:space="0" w:color="002060"/>
              <w:right w:val="double" w:sz="4" w:space="0" w:color="002060"/>
            </w:tcBorders>
            <w:vAlign w:val="center"/>
          </w:tcPr>
          <w:p w14:paraId="1D82F367" w14:textId="77777777" w:rsidR="00517991"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608</w:t>
            </w:r>
            <w:r w:rsidRPr="00B933C3">
              <w:rPr>
                <w:rFonts w:ascii="Calibri" w:hAnsi="Calibri" w:cs="Calibri"/>
                <w:color w:val="002060"/>
                <w:sz w:val="21"/>
                <w:szCs w:val="21"/>
              </w:rPr>
              <w:t> </w:t>
            </w:r>
            <w:r w:rsidRPr="00B933C3">
              <w:rPr>
                <w:rFonts w:ascii="Selawik" w:hAnsi="Selawik"/>
                <w:color w:val="002060"/>
                <w:sz w:val="21"/>
                <w:szCs w:val="21"/>
              </w:rPr>
              <w:t>569 m²</w:t>
            </w:r>
          </w:p>
          <w:p w14:paraId="66CAE7C9" w14:textId="4DE11AA4" w:rsidR="009D52AA"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60,8569 ha</w:t>
            </w:r>
          </w:p>
        </w:tc>
        <w:tc>
          <w:tcPr>
            <w:tcW w:w="1436" w:type="pct"/>
            <w:tcBorders>
              <w:bottom w:val="double" w:sz="4" w:space="0" w:color="002060"/>
              <w:right w:val="double" w:sz="4" w:space="0" w:color="002060"/>
            </w:tcBorders>
            <w:vAlign w:val="center"/>
          </w:tcPr>
          <w:p w14:paraId="0AB09ABE" w14:textId="77777777" w:rsidR="00517991"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394</w:t>
            </w:r>
            <w:r w:rsidRPr="00B933C3">
              <w:rPr>
                <w:rFonts w:ascii="Calibri" w:hAnsi="Calibri" w:cs="Calibri"/>
                <w:color w:val="002060"/>
                <w:sz w:val="21"/>
                <w:szCs w:val="21"/>
              </w:rPr>
              <w:t> </w:t>
            </w:r>
            <w:r w:rsidRPr="00B933C3">
              <w:rPr>
                <w:rFonts w:ascii="Selawik" w:hAnsi="Selawik"/>
                <w:color w:val="002060"/>
                <w:sz w:val="21"/>
                <w:szCs w:val="21"/>
              </w:rPr>
              <w:t>040 m²</w:t>
            </w:r>
          </w:p>
          <w:p w14:paraId="112B008F" w14:textId="3BAF418A" w:rsidR="009D52AA"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39,4040 ha</w:t>
            </w:r>
          </w:p>
        </w:tc>
        <w:tc>
          <w:tcPr>
            <w:tcW w:w="475" w:type="pct"/>
            <w:tcBorders>
              <w:bottom w:val="double" w:sz="4" w:space="0" w:color="002060"/>
              <w:right w:val="double" w:sz="4" w:space="0" w:color="002060"/>
            </w:tcBorders>
            <w:vAlign w:val="center"/>
          </w:tcPr>
          <w:p w14:paraId="5B74C11D" w14:textId="671E0EE8" w:rsidR="00517991" w:rsidRPr="00B933C3" w:rsidRDefault="009D52AA" w:rsidP="00C846FC">
            <w:pPr>
              <w:spacing w:before="40" w:after="40" w:line="278" w:lineRule="auto"/>
              <w:jc w:val="center"/>
              <w:cnfStyle w:val="000000100000" w:firstRow="0" w:lastRow="0" w:firstColumn="0" w:lastColumn="0" w:oddVBand="0" w:evenVBand="0" w:oddHBand="1" w:evenHBand="0" w:firstRowFirstColumn="0" w:firstRowLastColumn="0" w:lastRowFirstColumn="0" w:lastRowLastColumn="0"/>
              <w:rPr>
                <w:rFonts w:ascii="Selawik" w:hAnsi="Selawik"/>
                <w:color w:val="002060"/>
                <w:sz w:val="21"/>
                <w:szCs w:val="21"/>
              </w:rPr>
            </w:pPr>
            <w:r w:rsidRPr="00B933C3">
              <w:rPr>
                <w:rFonts w:ascii="Selawik" w:hAnsi="Selawik"/>
                <w:color w:val="002060"/>
                <w:sz w:val="21"/>
                <w:szCs w:val="21"/>
              </w:rPr>
              <w:t>64.7</w:t>
            </w:r>
            <w:r w:rsidR="00FA08CA" w:rsidRPr="00B933C3">
              <w:rPr>
                <w:rFonts w:ascii="Selawik" w:hAnsi="Selawik"/>
                <w:color w:val="002060"/>
                <w:sz w:val="21"/>
                <w:szCs w:val="21"/>
              </w:rPr>
              <w:t>%</w:t>
            </w:r>
          </w:p>
        </w:tc>
      </w:tr>
    </w:tbl>
    <w:p w14:paraId="380BA58E" w14:textId="33B54F38" w:rsidR="001F14E2" w:rsidRPr="007C5C54" w:rsidRDefault="001F14E2" w:rsidP="00C846FC">
      <w:pPr>
        <w:spacing w:line="278" w:lineRule="auto"/>
        <w:rPr>
          <w:rFonts w:ascii="Selawik" w:hAnsi="Selawik"/>
          <w:color w:val="0070C0"/>
          <w:sz w:val="23"/>
          <w:szCs w:val="23"/>
        </w:rPr>
      </w:pPr>
      <w:r w:rsidRPr="007C5C54">
        <w:rPr>
          <w:rFonts w:ascii="Selawik" w:hAnsi="Selawik"/>
          <w:color w:val="0070C0"/>
          <w:sz w:val="23"/>
          <w:szCs w:val="23"/>
        </w:rPr>
        <w:t xml:space="preserve">*Faisant déjà l’objet d’une délimitation au sens de l’article R </w:t>
      </w:r>
      <w:r w:rsidR="00347BA8" w:rsidRPr="007C5C54">
        <w:rPr>
          <w:rFonts w:ascii="Selawik" w:hAnsi="Selawik"/>
          <w:color w:val="0070C0"/>
          <w:sz w:val="23"/>
          <w:szCs w:val="23"/>
        </w:rPr>
        <w:t>151-34</w:t>
      </w:r>
      <w:r w:rsidRPr="007C5C54">
        <w:rPr>
          <w:rFonts w:ascii="Selawik" w:hAnsi="Selawik"/>
          <w:color w:val="0070C0"/>
          <w:sz w:val="23"/>
          <w:szCs w:val="23"/>
        </w:rPr>
        <w:t xml:space="preserve"> (ne fait pas partie de la mise en compatibilité mais absente de l’arrêté préfectoral d’autorisation d’exploiter</w:t>
      </w:r>
      <w:r w:rsidR="00347BA8" w:rsidRPr="007C5C54">
        <w:rPr>
          <w:rFonts w:ascii="Selawik" w:hAnsi="Selawik"/>
          <w:color w:val="0070C0"/>
          <w:sz w:val="23"/>
          <w:szCs w:val="23"/>
        </w:rPr>
        <w:t>)</w:t>
      </w:r>
      <w:r w:rsidR="007C5C54">
        <w:rPr>
          <w:rFonts w:ascii="Selawik" w:hAnsi="Selawik"/>
          <w:color w:val="0070C0"/>
          <w:sz w:val="23"/>
          <w:szCs w:val="23"/>
        </w:rPr>
        <w:t>.</w:t>
      </w:r>
    </w:p>
    <w:p w14:paraId="651520D6" w14:textId="44DC2608" w:rsidR="00332DA4" w:rsidRDefault="001F4300" w:rsidP="00C846FC">
      <w:pPr>
        <w:spacing w:line="278" w:lineRule="auto"/>
        <w:rPr>
          <w:rFonts w:ascii="Selawik" w:hAnsi="Selawik"/>
          <w:sz w:val="23"/>
          <w:szCs w:val="23"/>
        </w:rPr>
      </w:pPr>
      <w:r>
        <w:rPr>
          <w:rFonts w:ascii="Selawik" w:hAnsi="Selawik"/>
          <w:sz w:val="23"/>
          <w:szCs w:val="23"/>
        </w:rPr>
        <w:lastRenderedPageBreak/>
        <w:t>Ces parcelles feront l’objet d’un</w:t>
      </w:r>
      <w:r w:rsidR="001D548D">
        <w:rPr>
          <w:rFonts w:ascii="Selawik" w:hAnsi="Selawik"/>
          <w:sz w:val="23"/>
          <w:szCs w:val="23"/>
        </w:rPr>
        <w:t>e</w:t>
      </w:r>
      <w:r w:rsidR="001D548D" w:rsidRPr="001D548D">
        <w:rPr>
          <w:rFonts w:ascii="Selawik" w:hAnsi="Selawik"/>
          <w:sz w:val="23"/>
          <w:szCs w:val="23"/>
        </w:rPr>
        <w:t xml:space="preserve"> délimitation d’un secteur spécifique au sein du PLU en tant que «</w:t>
      </w:r>
      <w:r w:rsidR="001D548D" w:rsidRPr="001D548D">
        <w:rPr>
          <w:rFonts w:ascii="Calibri" w:hAnsi="Calibri" w:cs="Calibri"/>
          <w:sz w:val="23"/>
          <w:szCs w:val="23"/>
        </w:rPr>
        <w:t> </w:t>
      </w:r>
      <w:r w:rsidR="001D548D" w:rsidRPr="001D548D">
        <w:rPr>
          <w:rFonts w:ascii="Selawik" w:hAnsi="Selawik"/>
          <w:b/>
          <w:sz w:val="23"/>
          <w:szCs w:val="23"/>
        </w:rPr>
        <w:t>zones spéciales de recherche et d'exploitation de carrières et des zones d'exploitation et d'aménagement coordonné de carrières</w:t>
      </w:r>
      <w:r w:rsidR="001D548D" w:rsidRPr="001D548D">
        <w:rPr>
          <w:rFonts w:ascii="Selawik" w:hAnsi="Selawik"/>
          <w:sz w:val="23"/>
          <w:szCs w:val="23"/>
        </w:rPr>
        <w:t>, délimités en application des articles L. 321-1, L. 333-1 et L. 334-1 du code minier</w:t>
      </w:r>
      <w:r w:rsidR="001D548D" w:rsidRPr="001D548D">
        <w:rPr>
          <w:rFonts w:ascii="Calibri" w:hAnsi="Calibri" w:cs="Calibri"/>
          <w:sz w:val="23"/>
          <w:szCs w:val="23"/>
        </w:rPr>
        <w:t> </w:t>
      </w:r>
      <w:r w:rsidR="001D548D" w:rsidRPr="001D548D">
        <w:rPr>
          <w:rFonts w:ascii="Selawik" w:hAnsi="Selawik"/>
          <w:sz w:val="23"/>
          <w:szCs w:val="23"/>
        </w:rPr>
        <w:t>». Cet outil figure à l’article R 151-</w:t>
      </w:r>
      <w:r w:rsidR="00347BA8">
        <w:rPr>
          <w:rFonts w:ascii="Selawik" w:hAnsi="Selawik"/>
          <w:sz w:val="23"/>
          <w:szCs w:val="23"/>
        </w:rPr>
        <w:t>34</w:t>
      </w:r>
      <w:r w:rsidR="001D548D" w:rsidRPr="001D548D">
        <w:rPr>
          <w:rFonts w:ascii="Selawik" w:hAnsi="Selawik"/>
          <w:sz w:val="23"/>
          <w:szCs w:val="23"/>
        </w:rPr>
        <w:t xml:space="preserve"> du code de l’urbanisme. </w:t>
      </w:r>
      <w:r w:rsidR="001D548D">
        <w:rPr>
          <w:rFonts w:ascii="Selawik" w:hAnsi="Selawik"/>
          <w:sz w:val="23"/>
          <w:szCs w:val="23"/>
        </w:rPr>
        <w:t xml:space="preserve">Pour mémoire </w:t>
      </w:r>
      <w:r w:rsidR="001D548D" w:rsidRPr="00727186">
        <w:rPr>
          <w:rFonts w:ascii="Selawik" w:hAnsi="Selawik"/>
          <w:color w:val="002060"/>
          <w:sz w:val="23"/>
          <w:szCs w:val="23"/>
          <w:u w:val="single"/>
        </w:rPr>
        <w:t>l</w:t>
      </w:r>
      <w:r w:rsidR="001D548D" w:rsidRPr="001D548D">
        <w:rPr>
          <w:rFonts w:ascii="Selawik" w:hAnsi="Selawik"/>
          <w:color w:val="002060"/>
          <w:sz w:val="23"/>
          <w:szCs w:val="23"/>
          <w:u w:val="single"/>
        </w:rPr>
        <w:t>e périmètre</w:t>
      </w:r>
      <w:r w:rsidR="001D548D" w:rsidRPr="001D548D">
        <w:rPr>
          <w:rFonts w:ascii="Selawik" w:hAnsi="Selawik"/>
          <w:color w:val="002060"/>
          <w:sz w:val="23"/>
          <w:szCs w:val="23"/>
        </w:rPr>
        <w:t xml:space="preserve"> </w:t>
      </w:r>
      <w:r w:rsidR="001D548D" w:rsidRPr="001D548D">
        <w:rPr>
          <w:rFonts w:ascii="Selawik" w:hAnsi="Selawik"/>
          <w:sz w:val="23"/>
          <w:szCs w:val="23"/>
        </w:rPr>
        <w:t xml:space="preserve">de la zone de recherche et d’exploitation de carrières </w:t>
      </w:r>
      <w:r w:rsidR="001D548D" w:rsidRPr="001D548D">
        <w:rPr>
          <w:rFonts w:ascii="Selawik" w:hAnsi="Selawik"/>
          <w:color w:val="002060"/>
          <w:sz w:val="23"/>
          <w:szCs w:val="23"/>
          <w:u w:val="single"/>
        </w:rPr>
        <w:t xml:space="preserve">est plus grand que le périmètre </w:t>
      </w:r>
      <w:r w:rsidR="00727186">
        <w:rPr>
          <w:rFonts w:ascii="Selawik" w:hAnsi="Selawik"/>
          <w:color w:val="002060"/>
          <w:sz w:val="23"/>
          <w:szCs w:val="23"/>
          <w:u w:val="single"/>
        </w:rPr>
        <w:t xml:space="preserve">d’extension </w:t>
      </w:r>
      <w:r w:rsidR="001D548D" w:rsidRPr="001D548D">
        <w:rPr>
          <w:rFonts w:ascii="Selawik" w:hAnsi="Selawik"/>
          <w:color w:val="002060"/>
          <w:sz w:val="23"/>
          <w:szCs w:val="23"/>
          <w:u w:val="single"/>
        </w:rPr>
        <w:t xml:space="preserve">figurant dans le Dossier de </w:t>
      </w:r>
      <w:r w:rsidR="008A4BDE">
        <w:rPr>
          <w:rFonts w:ascii="Selawik" w:hAnsi="Selawik"/>
          <w:color w:val="002060"/>
          <w:sz w:val="23"/>
          <w:szCs w:val="23"/>
          <w:u w:val="single"/>
        </w:rPr>
        <w:t>D</w:t>
      </w:r>
      <w:r w:rsidR="001D548D" w:rsidRPr="001D548D">
        <w:rPr>
          <w:rFonts w:ascii="Selawik" w:hAnsi="Selawik"/>
          <w:color w:val="002060"/>
          <w:sz w:val="23"/>
          <w:szCs w:val="23"/>
          <w:u w:val="single"/>
        </w:rPr>
        <w:t>emande d’Autorisation Environnementale (DAE).</w:t>
      </w:r>
      <w:r w:rsidR="001D548D" w:rsidRPr="001D548D">
        <w:rPr>
          <w:rFonts w:ascii="Selawik" w:hAnsi="Selawik"/>
          <w:sz w:val="23"/>
          <w:szCs w:val="23"/>
        </w:rPr>
        <w:t xml:space="preserve"> En effet, des franges de certains parcelles</w:t>
      </w:r>
      <w:r w:rsidR="001670CA">
        <w:rPr>
          <w:rFonts w:ascii="Selawik" w:hAnsi="Selawik"/>
          <w:sz w:val="23"/>
          <w:szCs w:val="23"/>
        </w:rPr>
        <w:t xml:space="preserve"> et </w:t>
      </w:r>
      <w:r w:rsidR="001D548D" w:rsidRPr="001D548D">
        <w:rPr>
          <w:rFonts w:ascii="Selawik" w:hAnsi="Selawik"/>
          <w:sz w:val="23"/>
          <w:szCs w:val="23"/>
        </w:rPr>
        <w:t>chemins ne seront naturellement pas exploité au regard de l’étude d’impact et des études connexes.</w:t>
      </w:r>
    </w:p>
    <w:p w14:paraId="0E294E0D" w14:textId="059F8A64" w:rsidR="001D548D" w:rsidRDefault="001D548D" w:rsidP="00C846FC">
      <w:pPr>
        <w:spacing w:line="278" w:lineRule="auto"/>
        <w:rPr>
          <w:rFonts w:ascii="Selawik" w:hAnsi="Selawik"/>
          <w:sz w:val="23"/>
          <w:szCs w:val="23"/>
        </w:rPr>
      </w:pPr>
      <w:r w:rsidRPr="001D548D">
        <w:rPr>
          <w:rFonts w:ascii="Selawik" w:hAnsi="Selawik"/>
          <w:sz w:val="23"/>
          <w:szCs w:val="23"/>
        </w:rPr>
        <w:t>La surlargeur permet d’être plus souple vis-à-vis du rapport de compatibilité avec le PLU</w:t>
      </w:r>
      <w:r w:rsidR="00727186">
        <w:rPr>
          <w:rFonts w:ascii="Selawik" w:hAnsi="Selawik"/>
          <w:sz w:val="23"/>
          <w:szCs w:val="23"/>
        </w:rPr>
        <w:t xml:space="preserve"> et permettra à la société  Granulats d’intervenir plus sereinement lors de la remise en état finale du site. </w:t>
      </w:r>
      <w:r w:rsidRPr="001D548D">
        <w:rPr>
          <w:rFonts w:ascii="Selawik" w:hAnsi="Selawik"/>
          <w:sz w:val="23"/>
          <w:szCs w:val="23"/>
        </w:rPr>
        <w:t xml:space="preserve">En revanche, la société EQIOM Granulats devra </w:t>
      </w:r>
      <w:r w:rsidR="00727186" w:rsidRPr="001D548D">
        <w:rPr>
          <w:rFonts w:ascii="Selawik" w:hAnsi="Selawik"/>
          <w:sz w:val="23"/>
          <w:szCs w:val="23"/>
        </w:rPr>
        <w:t>respecter strictement</w:t>
      </w:r>
      <w:r w:rsidRPr="001D548D">
        <w:rPr>
          <w:rFonts w:ascii="Selawik" w:hAnsi="Selawik"/>
          <w:sz w:val="23"/>
          <w:szCs w:val="23"/>
        </w:rPr>
        <w:t xml:space="preserve"> le périmètre d’exploitation accordé par arrêté </w:t>
      </w:r>
      <w:r w:rsidR="00727186" w:rsidRPr="001D548D">
        <w:rPr>
          <w:rFonts w:ascii="Selawik" w:hAnsi="Selawik"/>
          <w:sz w:val="23"/>
          <w:szCs w:val="23"/>
        </w:rPr>
        <w:t>préfectoral</w:t>
      </w:r>
      <w:r w:rsidRPr="001D548D">
        <w:rPr>
          <w:rFonts w:ascii="Selawik" w:hAnsi="Selawik"/>
          <w:sz w:val="23"/>
          <w:szCs w:val="23"/>
        </w:rPr>
        <w:t xml:space="preserve">. </w:t>
      </w:r>
    </w:p>
    <w:p w14:paraId="70D32302" w14:textId="1489C291" w:rsidR="007706BA" w:rsidRDefault="00956B0F" w:rsidP="00C846FC">
      <w:pPr>
        <w:spacing w:line="278" w:lineRule="auto"/>
        <w:rPr>
          <w:rFonts w:ascii="Selawik" w:hAnsi="Selawik"/>
          <w:sz w:val="23"/>
          <w:szCs w:val="23"/>
        </w:rPr>
      </w:pPr>
      <w:r>
        <w:rPr>
          <w:rFonts w:ascii="Selawik" w:hAnsi="Selawik"/>
          <w:sz w:val="23"/>
          <w:szCs w:val="23"/>
        </w:rPr>
        <w:t xml:space="preserve">Par conséquent, la surface en extension dans le Dossier d’Autorisation Environnementale est de </w:t>
      </w:r>
      <w:r w:rsidR="008A4BDE">
        <w:rPr>
          <w:rFonts w:ascii="Selawik" w:hAnsi="Selawik"/>
          <w:sz w:val="23"/>
          <w:szCs w:val="23"/>
        </w:rPr>
        <w:t>35</w:t>
      </w:r>
      <w:r w:rsidRPr="00956B0F">
        <w:rPr>
          <w:rFonts w:ascii="Selawik" w:hAnsi="Selawik"/>
          <w:sz w:val="23"/>
          <w:szCs w:val="23"/>
        </w:rPr>
        <w:t xml:space="preserve"> ha </w:t>
      </w:r>
      <w:r w:rsidR="008A4BDE">
        <w:rPr>
          <w:rFonts w:ascii="Selawik" w:hAnsi="Selawik"/>
          <w:sz w:val="23"/>
          <w:szCs w:val="23"/>
        </w:rPr>
        <w:t>63</w:t>
      </w:r>
      <w:r w:rsidRPr="00956B0F">
        <w:rPr>
          <w:rFonts w:ascii="Selawik" w:hAnsi="Selawik"/>
          <w:sz w:val="23"/>
          <w:szCs w:val="23"/>
        </w:rPr>
        <w:t xml:space="preserve"> a </w:t>
      </w:r>
      <w:r w:rsidR="008A4BDE">
        <w:rPr>
          <w:rFonts w:ascii="Selawik" w:hAnsi="Selawik"/>
          <w:sz w:val="23"/>
          <w:szCs w:val="23"/>
        </w:rPr>
        <w:t>89</w:t>
      </w:r>
      <w:r w:rsidRPr="00956B0F">
        <w:rPr>
          <w:rFonts w:ascii="Selawik" w:hAnsi="Selawik"/>
          <w:sz w:val="23"/>
          <w:szCs w:val="23"/>
        </w:rPr>
        <w:t xml:space="preserve"> ca</w:t>
      </w:r>
      <w:r>
        <w:rPr>
          <w:rFonts w:ascii="Selawik" w:hAnsi="Selawik"/>
          <w:sz w:val="23"/>
          <w:szCs w:val="23"/>
        </w:rPr>
        <w:t xml:space="preserve"> alors que le dossier de mise en compatibilité porte sur </w:t>
      </w:r>
      <w:r w:rsidR="008A4BDE">
        <w:rPr>
          <w:rFonts w:ascii="Selawik" w:hAnsi="Selawik"/>
          <w:sz w:val="23"/>
          <w:szCs w:val="23"/>
        </w:rPr>
        <w:t>39</w:t>
      </w:r>
      <w:r w:rsidR="008A4BDE" w:rsidRPr="00956B0F">
        <w:rPr>
          <w:rFonts w:ascii="Selawik" w:hAnsi="Selawik"/>
          <w:sz w:val="23"/>
          <w:szCs w:val="23"/>
        </w:rPr>
        <w:t xml:space="preserve"> ha </w:t>
      </w:r>
      <w:r w:rsidR="008A4BDE">
        <w:rPr>
          <w:rFonts w:ascii="Selawik" w:hAnsi="Selawik"/>
          <w:sz w:val="23"/>
          <w:szCs w:val="23"/>
        </w:rPr>
        <w:t>40</w:t>
      </w:r>
      <w:r w:rsidR="008A4BDE" w:rsidRPr="00956B0F">
        <w:rPr>
          <w:rFonts w:ascii="Selawik" w:hAnsi="Selawik"/>
          <w:sz w:val="23"/>
          <w:szCs w:val="23"/>
        </w:rPr>
        <w:t xml:space="preserve"> a </w:t>
      </w:r>
      <w:r w:rsidR="008A4BDE">
        <w:rPr>
          <w:rFonts w:ascii="Selawik" w:hAnsi="Selawik"/>
          <w:sz w:val="23"/>
          <w:szCs w:val="23"/>
        </w:rPr>
        <w:t>40</w:t>
      </w:r>
      <w:r w:rsidR="008A4BDE" w:rsidRPr="00956B0F">
        <w:rPr>
          <w:rFonts w:ascii="Selawik" w:hAnsi="Selawik"/>
          <w:sz w:val="23"/>
          <w:szCs w:val="23"/>
        </w:rPr>
        <w:t xml:space="preserve"> ca</w:t>
      </w:r>
      <w:r w:rsidR="008A4BDE">
        <w:rPr>
          <w:rFonts w:ascii="Selawik" w:hAnsi="Selawik"/>
          <w:sz w:val="23"/>
          <w:szCs w:val="23"/>
        </w:rPr>
        <w:t xml:space="preserve">. La différence s’explique par le fait que le chemin rural est pris en compte, que l’ensemble de la parcelle est délimité alors que les abords des parcelles ne sont pas forcément dans le périmètre exploitable du </w:t>
      </w:r>
      <w:r w:rsidR="00C53B53">
        <w:rPr>
          <w:rFonts w:ascii="Selawik" w:hAnsi="Selawik"/>
          <w:sz w:val="23"/>
          <w:szCs w:val="23"/>
        </w:rPr>
        <w:t xml:space="preserve">Dossier de demande d’Autorisation Environnementale (DAE). </w:t>
      </w:r>
      <w:bookmarkEnd w:id="25"/>
    </w:p>
    <w:p w14:paraId="1809B0F8" w14:textId="77777777" w:rsidR="007706BA" w:rsidRPr="00007855" w:rsidRDefault="007706BA" w:rsidP="00C846FC">
      <w:pPr>
        <w:spacing w:line="278" w:lineRule="auto"/>
        <w:rPr>
          <w:rFonts w:ascii="Selawik" w:hAnsi="Selawik"/>
          <w:sz w:val="23"/>
          <w:szCs w:val="23"/>
        </w:rPr>
      </w:pPr>
    </w:p>
    <w:p w14:paraId="5B699483" w14:textId="77777777" w:rsidR="00AE79FE" w:rsidRDefault="00AE79FE" w:rsidP="00C846FC">
      <w:pPr>
        <w:spacing w:line="278" w:lineRule="auto"/>
        <w:sectPr w:rsidR="00AE79FE" w:rsidSect="00B57A3C">
          <w:headerReference w:type="default" r:id="rId21"/>
          <w:footerReference w:type="default" r:id="rId22"/>
          <w:pgSz w:w="11906" w:h="16838"/>
          <w:pgMar w:top="1134" w:right="1134" w:bottom="1276" w:left="1134" w:header="284" w:footer="284" w:gutter="0"/>
          <w:cols w:space="708"/>
          <w:docGrid w:linePitch="360"/>
        </w:sectPr>
      </w:pPr>
    </w:p>
    <w:p w14:paraId="7C735382" w14:textId="0B84EDBE" w:rsidR="00AE79FE" w:rsidRPr="00AE79FE" w:rsidRDefault="00AE79FE" w:rsidP="00EF3E04">
      <w:pPr>
        <w:pStyle w:val="Titre1"/>
      </w:pPr>
      <w:bookmarkStart w:id="26" w:name="_Toc99556095"/>
      <w:r w:rsidRPr="00AE79FE">
        <w:lastRenderedPageBreak/>
        <w:t>Présentation des évolutions nécessaires aux pièces du PLU et justifications des modifications proposées</w:t>
      </w:r>
      <w:bookmarkEnd w:id="26"/>
      <w:r w:rsidRPr="00AE79FE">
        <w:t xml:space="preserve"> </w:t>
      </w:r>
    </w:p>
    <w:p w14:paraId="6F578DF9" w14:textId="6FA13841" w:rsidR="003250A3" w:rsidRDefault="003250A3" w:rsidP="00C846FC">
      <w:pPr>
        <w:pStyle w:val="Titre3"/>
        <w:numPr>
          <w:ilvl w:val="0"/>
          <w:numId w:val="18"/>
        </w:numPr>
        <w:spacing w:line="278" w:lineRule="auto"/>
      </w:pPr>
      <w:bookmarkStart w:id="27" w:name="_Toc99556096"/>
      <w:r>
        <w:t>Plan de zonage</w:t>
      </w:r>
      <w:bookmarkEnd w:id="27"/>
    </w:p>
    <w:p w14:paraId="318F1EE8" w14:textId="1B4B9DA1" w:rsidR="003250A3" w:rsidRDefault="0012628D" w:rsidP="00C846FC">
      <w:pPr>
        <w:spacing w:after="0" w:line="278" w:lineRule="auto"/>
        <w:jc w:val="left"/>
        <w:rPr>
          <w:lang w:eastAsia="fr-FR"/>
        </w:rPr>
      </w:pPr>
      <w:r w:rsidRPr="00F17C72">
        <w:rPr>
          <w:rFonts w:ascii="Selawik" w:hAnsi="Selawik" w:cs="Arial"/>
          <w:noProof/>
          <w:sz w:val="22"/>
          <w:szCs w:val="21"/>
          <w:lang w:eastAsia="fr-FR"/>
        </w:rPr>
        <w:drawing>
          <wp:anchor distT="0" distB="0" distL="114300" distR="114300" simplePos="0" relativeHeight="251994107" behindDoc="0" locked="0" layoutInCell="1" allowOverlap="1" wp14:anchorId="201C6354" wp14:editId="1161D0E0">
            <wp:simplePos x="0" y="0"/>
            <wp:positionH relativeFrom="margin">
              <wp:posOffset>962025</wp:posOffset>
            </wp:positionH>
            <wp:positionV relativeFrom="paragraph">
              <wp:posOffset>178435</wp:posOffset>
            </wp:positionV>
            <wp:extent cx="8431530" cy="4948555"/>
            <wp:effectExtent l="0" t="0" r="7620" b="4445"/>
            <wp:wrapTopAndBottom/>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A3 1 7000e.png"/>
                    <pic:cNvPicPr/>
                  </pic:nvPicPr>
                  <pic:blipFill rotWithShape="1">
                    <a:blip r:embed="rId23" cstate="hqprint">
                      <a:extLst>
                        <a:ext uri="{28A0092B-C50C-407E-A947-70E740481C1C}">
                          <a14:useLocalDpi xmlns:a14="http://schemas.microsoft.com/office/drawing/2010/main" val="0"/>
                        </a:ext>
                      </a:extLst>
                    </a:blip>
                    <a:srcRect l="890" t="3861" r="4680"/>
                    <a:stretch/>
                  </pic:blipFill>
                  <pic:spPr bwMode="auto">
                    <a:xfrm>
                      <a:off x="0" y="0"/>
                      <a:ext cx="8431530" cy="494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07E">
        <w:rPr>
          <w:rFonts w:ascii="Selawik" w:hAnsi="Selawik" w:cs="Arial"/>
          <w:szCs w:val="20"/>
          <w:lang w:eastAsia="fr-FR"/>
        </w:rPr>
        <w:t>Extr</w:t>
      </w:r>
      <w:r w:rsidR="004753D8">
        <w:rPr>
          <w:rFonts w:ascii="Selawik" w:hAnsi="Selawik" w:cs="Arial"/>
          <w:noProof/>
          <w:sz w:val="22"/>
          <w:szCs w:val="21"/>
          <w:lang w:eastAsia="fr-FR"/>
        </w:rPr>
        <mc:AlternateContent>
          <mc:Choice Requires="wps">
            <w:drawing>
              <wp:anchor distT="0" distB="0" distL="114300" distR="114300" simplePos="0" relativeHeight="252181504" behindDoc="0" locked="0" layoutInCell="1" allowOverlap="1" wp14:anchorId="3CBBEB6C" wp14:editId="7096DA8B">
                <wp:simplePos x="0" y="0"/>
                <wp:positionH relativeFrom="column">
                  <wp:posOffset>4287133</wp:posOffset>
                </wp:positionH>
                <wp:positionV relativeFrom="paragraph">
                  <wp:posOffset>4562143</wp:posOffset>
                </wp:positionV>
                <wp:extent cx="4659078" cy="576000"/>
                <wp:effectExtent l="0" t="0" r="8255" b="0"/>
                <wp:wrapNone/>
                <wp:docPr id="452" name="Rectangle 452"/>
                <wp:cNvGraphicFramePr/>
                <a:graphic xmlns:a="http://schemas.openxmlformats.org/drawingml/2006/main">
                  <a:graphicData uri="http://schemas.microsoft.com/office/word/2010/wordprocessingShape">
                    <wps:wsp>
                      <wps:cNvSpPr/>
                      <wps:spPr>
                        <a:xfrm>
                          <a:off x="0" y="0"/>
                          <a:ext cx="4659078" cy="57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lledutableau"/>
                              <w:tblW w:w="5000" w:type="pct"/>
                              <w:tblLook w:val="04A0" w:firstRow="1" w:lastRow="0" w:firstColumn="1" w:lastColumn="0" w:noHBand="0" w:noVBand="1"/>
                            </w:tblPr>
                            <w:tblGrid>
                              <w:gridCol w:w="432"/>
                              <w:gridCol w:w="6602"/>
                            </w:tblGrid>
                            <w:tr w:rsidR="006F68CE" w14:paraId="3D659016" w14:textId="77777777" w:rsidTr="0057205F">
                              <w:tc>
                                <w:tcPr>
                                  <w:tcW w:w="307" w:type="pct"/>
                                  <w:shd w:val="clear" w:color="auto" w:fill="FF7C80"/>
                                </w:tcPr>
                                <w:p w14:paraId="574389A9" w14:textId="77777777" w:rsidR="006F68CE" w:rsidRDefault="006F68CE" w:rsidP="004753D8">
                                  <w:pPr>
                                    <w:spacing w:before="60" w:after="60" w:line="264" w:lineRule="auto"/>
                                    <w:jc w:val="left"/>
                                    <w:rPr>
                                      <w:rFonts w:ascii="Selawik" w:hAnsi="Selawik" w:cs="Arial"/>
                                      <w:szCs w:val="20"/>
                                      <w:lang w:eastAsia="fr-FR"/>
                                    </w:rPr>
                                  </w:pPr>
                                </w:p>
                              </w:tc>
                              <w:tc>
                                <w:tcPr>
                                  <w:tcW w:w="4693" w:type="pct"/>
                                </w:tcPr>
                                <w:p w14:paraId="55050A36" w14:textId="5FE36A35" w:rsidR="006F68CE" w:rsidRPr="004753D8" w:rsidRDefault="006F68CE" w:rsidP="004753D8">
                                  <w:pPr>
                                    <w:spacing w:before="60" w:after="60" w:line="264" w:lineRule="auto"/>
                                    <w:jc w:val="left"/>
                                    <w:rPr>
                                      <w:rFonts w:ascii="Selawik" w:hAnsi="Selawik" w:cs="Arial"/>
                                      <w:color w:val="000000" w:themeColor="text1"/>
                                      <w:szCs w:val="20"/>
                                      <w:lang w:eastAsia="fr-FR"/>
                                    </w:rPr>
                                  </w:pPr>
                                  <w:r w:rsidRPr="004753D8">
                                    <w:rPr>
                                      <w:rFonts w:ascii="Selawik" w:hAnsi="Selawik" w:cs="Arial"/>
                                      <w:color w:val="000000" w:themeColor="text1"/>
                                      <w:szCs w:val="20"/>
                                      <w:lang w:eastAsia="fr-FR"/>
                                    </w:rPr>
                                    <w:t>Zone de recherche et d’exploitation de carrière conformément à l’article R 151-</w:t>
                                  </w:r>
                                  <w:r w:rsidR="00347BA8">
                                    <w:rPr>
                                      <w:rFonts w:ascii="Selawik" w:hAnsi="Selawik" w:cs="Arial"/>
                                      <w:color w:val="000000" w:themeColor="text1"/>
                                      <w:szCs w:val="20"/>
                                      <w:lang w:eastAsia="fr-FR"/>
                                    </w:rPr>
                                    <w:t>34-2</w:t>
                                  </w:r>
                                  <w:r w:rsidRPr="004753D8">
                                    <w:rPr>
                                      <w:rFonts w:ascii="Selawik" w:hAnsi="Selawik" w:cs="Arial"/>
                                      <w:color w:val="000000" w:themeColor="text1"/>
                                      <w:szCs w:val="20"/>
                                      <w:lang w:eastAsia="fr-FR"/>
                                    </w:rPr>
                                    <w:t>° du code de l’urbanisme</w:t>
                                  </w:r>
                                  <w:r>
                                    <w:rPr>
                                      <w:rFonts w:ascii="Calibri" w:hAnsi="Calibri" w:cs="Calibri"/>
                                      <w:color w:val="000000" w:themeColor="text1"/>
                                      <w:szCs w:val="20"/>
                                      <w:lang w:eastAsia="fr-FR"/>
                                    </w:rPr>
                                    <w:t> </w:t>
                                  </w:r>
                                  <w:r>
                                    <w:rPr>
                                      <w:rFonts w:ascii="Selawik" w:hAnsi="Selawik" w:cs="Arial"/>
                                      <w:color w:val="000000" w:themeColor="text1"/>
                                      <w:szCs w:val="20"/>
                                      <w:lang w:eastAsia="fr-FR"/>
                                    </w:rPr>
                                    <w:t>: 1</w:t>
                                  </w:r>
                                  <w:r>
                                    <w:rPr>
                                      <w:rFonts w:ascii="Calibri" w:hAnsi="Calibri" w:cs="Calibri"/>
                                      <w:color w:val="000000" w:themeColor="text1"/>
                                      <w:szCs w:val="20"/>
                                      <w:lang w:eastAsia="fr-FR"/>
                                    </w:rPr>
                                    <w:t> </w:t>
                                  </w:r>
                                  <w:r>
                                    <w:rPr>
                                      <w:rFonts w:ascii="Selawik" w:hAnsi="Selawik" w:cs="Arial"/>
                                      <w:color w:val="000000" w:themeColor="text1"/>
                                      <w:szCs w:val="20"/>
                                      <w:lang w:eastAsia="fr-FR"/>
                                    </w:rPr>
                                    <w:t>030</w:t>
                                  </w:r>
                                  <w:r>
                                    <w:rPr>
                                      <w:rFonts w:ascii="Calibri" w:hAnsi="Calibri" w:cs="Calibri"/>
                                      <w:color w:val="000000" w:themeColor="text1"/>
                                      <w:szCs w:val="20"/>
                                      <w:lang w:eastAsia="fr-FR"/>
                                    </w:rPr>
                                    <w:t> </w:t>
                                  </w:r>
                                  <w:r>
                                    <w:rPr>
                                      <w:rFonts w:ascii="Selawik" w:hAnsi="Selawik" w:cs="Arial"/>
                                      <w:color w:val="000000" w:themeColor="text1"/>
                                      <w:szCs w:val="20"/>
                                      <w:lang w:eastAsia="fr-FR"/>
                                    </w:rPr>
                                    <w:t>000 m² soit 103,00 ha</w:t>
                                  </w:r>
                                </w:p>
                              </w:tc>
                            </w:tr>
                          </w:tbl>
                          <w:p w14:paraId="2AA04163" w14:textId="77777777" w:rsidR="006F68CE" w:rsidRDefault="006F68CE" w:rsidP="004753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BEB6C" id="Rectangle 452" o:spid="_x0000_s1026" style="position:absolute;margin-left:337.55pt;margin-top:359.2pt;width:366.85pt;height:45.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mDggIAAGkFAAAOAAAAZHJzL2Uyb0RvYy54bWysVE1v2zAMvQ/YfxB0X+0ESbsGcYogRYcB&#10;RVu0HXpWZCkWIIuapMTOfv0o+SNtV+ww7GJTIvlIPpFcXrW1JgfhvAJT0MlZTokwHEpldgX98Xzz&#10;5SslPjBTMg1GFPQoPL1aff60bOxCTKECXQpHEMT4RWMLWoVgF1nmeSVq5s/ACoNKCa5mAY9ul5WO&#10;NYhe62ya5+dZA660DrjwHm+vOyVdJXwpBQ/3UnoRiC4o5hbS16XvNn6z1ZItdo7ZSvE+DfYPWdRM&#10;GQw6Ql2zwMjeqT+gasUdeJDhjEOdgZSKi1QDVjPJ31XzVDErUi1IjrcjTf7/wfK7w5N9cEhDY/3C&#10;oxiraKWr4x/zI20i6ziSJdpAOF7OzueX+QU+L0fd/OI8zxOb2cnbOh++CahJFArq8DESR+xw6wNG&#10;RNPBJAbzoFV5o7ROh9gAYqMdOTB8uu1uEp8KPd5YaRNtDUSvTh1vslMpSQpHLaKdNo9CElVi8tOU&#10;SOqyUxDGuTBh0qkqVoou9hwrG0obPVIuCTAiS4w/YvcAbwsYsLsse/voKlKTjs753xLrnEePFBlM&#10;GJ1rZcB9BKCxqj5yZz+Q1FETWQrttkWTKG6hPD444qCbFm/5jcIXvGU+PDCH44GDhCMf7vEjNTQF&#10;hV6ipAL366P7aI9di1pKGhy3gvqfe+YEJfq7wX6+nMxmcT7TYTa/mOLBvdZsX2vMvt4AtsUEl4vl&#10;SYz2QQ+idFC/4GZYx6ioYoZj7ILy4IbDJnRrAHcLF+t1MsOZtCzcmifLI3gkOHboc/vCnO3bOOAA&#10;3MEwmmzxrps72+hpYL0PIFVq9ROvPfU4z6mH+t0TF8brc7I6bcjVbwAAAP//AwBQSwMEFAAGAAgA&#10;AAAhADMosFDjAAAADAEAAA8AAABkcnMvZG93bnJldi54bWxMj8FOwzAQRO9I/IO1SFwQtUNKG0I2&#10;FSAhcemBUlU9uvESR43tKHaTlK/HPcFxtU8zb4rVZFo2UO8bZxGSmQBGtnKqsTXC9uv9PgPmg7RK&#10;ts4Swpk8rMrrq0Lmyo32k4ZNqFkMsT6XCDqELufcV5qM9DPXkY2/b9cbGeLZ11z1cozhpuUPQiy4&#10;kY2NDVp29KapOm5OBmF9TtOP4S49jtsmrZsfvn/daYd4ezO9PAMLNIU/GC76UR3K6HRwJ6s8axEW&#10;y8ckogjLJJsDuxBzkcU1B4RMPCXAy4L/H1H+AgAA//8DAFBLAQItABQABgAIAAAAIQC2gziS/gAA&#10;AOEBAAATAAAAAAAAAAAAAAAAAAAAAABbQ29udGVudF9UeXBlc10ueG1sUEsBAi0AFAAGAAgAAAAh&#10;ADj9If/WAAAAlAEAAAsAAAAAAAAAAAAAAAAALwEAAF9yZWxzLy5yZWxzUEsBAi0AFAAGAAgAAAAh&#10;AELQ6YOCAgAAaQUAAA4AAAAAAAAAAAAAAAAALgIAAGRycy9lMm9Eb2MueG1sUEsBAi0AFAAGAAgA&#10;AAAhADMosFDjAAAADAEAAA8AAAAAAAAAAAAAAAAA3AQAAGRycy9kb3ducmV2LnhtbFBLBQYAAAAA&#10;BAAEAPMAAADsBQAAAAA=&#10;" fillcolor="white [3212]" stroked="f" strokeweight="1pt">
                <v:textbox>
                  <w:txbxContent>
                    <w:tbl>
                      <w:tblPr>
                        <w:tblStyle w:val="Grilledutableau"/>
                        <w:tblW w:w="5000" w:type="pct"/>
                        <w:tblLook w:val="04A0" w:firstRow="1" w:lastRow="0" w:firstColumn="1" w:lastColumn="0" w:noHBand="0" w:noVBand="1"/>
                      </w:tblPr>
                      <w:tblGrid>
                        <w:gridCol w:w="432"/>
                        <w:gridCol w:w="6602"/>
                      </w:tblGrid>
                      <w:tr w:rsidR="006F68CE" w14:paraId="3D659016" w14:textId="77777777" w:rsidTr="0057205F">
                        <w:tc>
                          <w:tcPr>
                            <w:tcW w:w="307" w:type="pct"/>
                            <w:shd w:val="clear" w:color="auto" w:fill="FF7C80"/>
                          </w:tcPr>
                          <w:p w14:paraId="574389A9" w14:textId="77777777" w:rsidR="006F68CE" w:rsidRDefault="006F68CE" w:rsidP="004753D8">
                            <w:pPr>
                              <w:spacing w:before="60" w:after="60" w:line="264" w:lineRule="auto"/>
                              <w:jc w:val="left"/>
                              <w:rPr>
                                <w:rFonts w:ascii="Selawik" w:hAnsi="Selawik" w:cs="Arial"/>
                                <w:szCs w:val="20"/>
                                <w:lang w:eastAsia="fr-FR"/>
                              </w:rPr>
                            </w:pPr>
                          </w:p>
                        </w:tc>
                        <w:tc>
                          <w:tcPr>
                            <w:tcW w:w="4693" w:type="pct"/>
                          </w:tcPr>
                          <w:p w14:paraId="55050A36" w14:textId="5FE36A35" w:rsidR="006F68CE" w:rsidRPr="004753D8" w:rsidRDefault="006F68CE" w:rsidP="004753D8">
                            <w:pPr>
                              <w:spacing w:before="60" w:after="60" w:line="264" w:lineRule="auto"/>
                              <w:jc w:val="left"/>
                              <w:rPr>
                                <w:rFonts w:ascii="Selawik" w:hAnsi="Selawik" w:cs="Arial"/>
                                <w:color w:val="000000" w:themeColor="text1"/>
                                <w:szCs w:val="20"/>
                                <w:lang w:eastAsia="fr-FR"/>
                              </w:rPr>
                            </w:pPr>
                            <w:r w:rsidRPr="004753D8">
                              <w:rPr>
                                <w:rFonts w:ascii="Selawik" w:hAnsi="Selawik" w:cs="Arial"/>
                                <w:color w:val="000000" w:themeColor="text1"/>
                                <w:szCs w:val="20"/>
                                <w:lang w:eastAsia="fr-FR"/>
                              </w:rPr>
                              <w:t>Zone de recherche et d’exploitation de carrière conformément à l’article R 151-</w:t>
                            </w:r>
                            <w:r w:rsidR="00347BA8">
                              <w:rPr>
                                <w:rFonts w:ascii="Selawik" w:hAnsi="Selawik" w:cs="Arial"/>
                                <w:color w:val="000000" w:themeColor="text1"/>
                                <w:szCs w:val="20"/>
                                <w:lang w:eastAsia="fr-FR"/>
                              </w:rPr>
                              <w:t>34-2</w:t>
                            </w:r>
                            <w:r w:rsidRPr="004753D8">
                              <w:rPr>
                                <w:rFonts w:ascii="Selawik" w:hAnsi="Selawik" w:cs="Arial"/>
                                <w:color w:val="000000" w:themeColor="text1"/>
                                <w:szCs w:val="20"/>
                                <w:lang w:eastAsia="fr-FR"/>
                              </w:rPr>
                              <w:t>° du code de l’urbanisme</w:t>
                            </w:r>
                            <w:r>
                              <w:rPr>
                                <w:rFonts w:ascii="Calibri" w:hAnsi="Calibri" w:cs="Calibri"/>
                                <w:color w:val="000000" w:themeColor="text1"/>
                                <w:szCs w:val="20"/>
                                <w:lang w:eastAsia="fr-FR"/>
                              </w:rPr>
                              <w:t> </w:t>
                            </w:r>
                            <w:r>
                              <w:rPr>
                                <w:rFonts w:ascii="Selawik" w:hAnsi="Selawik" w:cs="Arial"/>
                                <w:color w:val="000000" w:themeColor="text1"/>
                                <w:szCs w:val="20"/>
                                <w:lang w:eastAsia="fr-FR"/>
                              </w:rPr>
                              <w:t>: 1</w:t>
                            </w:r>
                            <w:r>
                              <w:rPr>
                                <w:rFonts w:ascii="Calibri" w:hAnsi="Calibri" w:cs="Calibri"/>
                                <w:color w:val="000000" w:themeColor="text1"/>
                                <w:szCs w:val="20"/>
                                <w:lang w:eastAsia="fr-FR"/>
                              </w:rPr>
                              <w:t> </w:t>
                            </w:r>
                            <w:r>
                              <w:rPr>
                                <w:rFonts w:ascii="Selawik" w:hAnsi="Selawik" w:cs="Arial"/>
                                <w:color w:val="000000" w:themeColor="text1"/>
                                <w:szCs w:val="20"/>
                                <w:lang w:eastAsia="fr-FR"/>
                              </w:rPr>
                              <w:t>030</w:t>
                            </w:r>
                            <w:r>
                              <w:rPr>
                                <w:rFonts w:ascii="Calibri" w:hAnsi="Calibri" w:cs="Calibri"/>
                                <w:color w:val="000000" w:themeColor="text1"/>
                                <w:szCs w:val="20"/>
                                <w:lang w:eastAsia="fr-FR"/>
                              </w:rPr>
                              <w:t> </w:t>
                            </w:r>
                            <w:r>
                              <w:rPr>
                                <w:rFonts w:ascii="Selawik" w:hAnsi="Selawik" w:cs="Arial"/>
                                <w:color w:val="000000" w:themeColor="text1"/>
                                <w:szCs w:val="20"/>
                                <w:lang w:eastAsia="fr-FR"/>
                              </w:rPr>
                              <w:t>000 m² soit 103,00 ha</w:t>
                            </w:r>
                          </w:p>
                        </w:tc>
                      </w:tr>
                    </w:tbl>
                    <w:p w14:paraId="2AA04163" w14:textId="77777777" w:rsidR="006F68CE" w:rsidRDefault="006F68CE" w:rsidP="004753D8"/>
                  </w:txbxContent>
                </v:textbox>
              </v:rect>
            </w:pict>
          </mc:Fallback>
        </mc:AlternateContent>
      </w:r>
      <w:r w:rsidR="0027407E">
        <w:rPr>
          <w:rFonts w:ascii="Selawik" w:hAnsi="Selawik" w:cs="Arial"/>
          <w:szCs w:val="20"/>
          <w:lang w:eastAsia="fr-FR"/>
        </w:rPr>
        <w:t xml:space="preserve">ait du plan de zonage </w:t>
      </w:r>
      <w:r w:rsidR="00AC35DE" w:rsidRPr="00AC35DE">
        <w:rPr>
          <w:rFonts w:ascii="Selawik" w:hAnsi="Selawik" w:cs="Arial"/>
          <w:szCs w:val="20"/>
          <w:lang w:eastAsia="fr-FR"/>
        </w:rPr>
        <w:t>d</w:t>
      </w:r>
      <w:r w:rsidR="0027407E">
        <w:rPr>
          <w:rFonts w:ascii="Selawik" w:hAnsi="Selawik" w:cs="Arial"/>
          <w:szCs w:val="20"/>
          <w:lang w:eastAsia="fr-FR"/>
        </w:rPr>
        <w:t>u PLU en vigueur,</w:t>
      </w:r>
      <w:r w:rsidR="008915BB">
        <w:rPr>
          <w:rFonts w:ascii="Selawik" w:hAnsi="Selawik" w:cs="Arial"/>
          <w:szCs w:val="20"/>
          <w:lang w:eastAsia="fr-FR"/>
        </w:rPr>
        <w:t xml:space="preserve"> approuvé le </w:t>
      </w:r>
      <w:r w:rsidR="002A7FD8">
        <w:rPr>
          <w:rFonts w:ascii="Selawik" w:hAnsi="Selawik" w:cs="Arial"/>
          <w:szCs w:val="20"/>
          <w:lang w:eastAsia="fr-FR"/>
        </w:rPr>
        <w:t>21 décembre 2017</w:t>
      </w:r>
      <w:r w:rsidR="003250A3">
        <w:rPr>
          <w:lang w:eastAsia="fr-FR"/>
        </w:rPr>
        <w:br w:type="page"/>
      </w:r>
    </w:p>
    <w:p w14:paraId="20CDB802" w14:textId="72C1B468" w:rsidR="00FE2115" w:rsidRPr="00FE2115" w:rsidRDefault="00E5733A" w:rsidP="00C846FC">
      <w:pPr>
        <w:spacing w:after="0" w:line="278" w:lineRule="auto"/>
        <w:rPr>
          <w:rFonts w:ascii="Selawik" w:hAnsi="Selawik" w:cs="Arial"/>
          <w:sz w:val="22"/>
          <w:szCs w:val="20"/>
          <w:lang w:eastAsia="fr-FR"/>
        </w:rPr>
        <w:sectPr w:rsidR="00FE2115" w:rsidRPr="00FE2115" w:rsidSect="0012628D">
          <w:footerReference w:type="default" r:id="rId24"/>
          <w:pgSz w:w="16838" w:h="11906" w:orient="landscape"/>
          <w:pgMar w:top="907" w:right="567" w:bottom="907" w:left="567" w:header="284" w:footer="567" w:gutter="0"/>
          <w:cols w:space="708"/>
          <w:docGrid w:linePitch="360"/>
        </w:sectPr>
      </w:pPr>
      <w:r w:rsidRPr="00F17C72">
        <w:rPr>
          <w:rFonts w:ascii="Selawik" w:hAnsi="Selawik" w:cs="Arial"/>
          <w:noProof/>
          <w:sz w:val="22"/>
          <w:szCs w:val="21"/>
          <w:lang w:eastAsia="fr-FR"/>
        </w:rPr>
        <w:lastRenderedPageBreak/>
        <w:drawing>
          <wp:anchor distT="0" distB="0" distL="114300" distR="114300" simplePos="0" relativeHeight="252182528" behindDoc="0" locked="0" layoutInCell="1" allowOverlap="1" wp14:anchorId="5A5BB6B0" wp14:editId="185968AD">
            <wp:simplePos x="361950" y="571500"/>
            <wp:positionH relativeFrom="margin">
              <wp:align>center</wp:align>
            </wp:positionH>
            <wp:positionV relativeFrom="margin">
              <wp:align>top</wp:align>
            </wp:positionV>
            <wp:extent cx="8111490" cy="5651500"/>
            <wp:effectExtent l="0" t="0" r="3810" b="6350"/>
            <wp:wrapTopAndBottom/>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25" cstate="hqprint">
                      <a:extLst>
                        <a:ext uri="{28A0092B-C50C-407E-A947-70E740481C1C}">
                          <a14:useLocalDpi xmlns:a14="http://schemas.microsoft.com/office/drawing/2010/main" val="0"/>
                        </a:ext>
                      </a:extLst>
                    </a:blip>
                    <a:srcRect t="666" b="666"/>
                    <a:stretch>
                      <a:fillRect/>
                    </a:stretch>
                  </pic:blipFill>
                  <pic:spPr bwMode="auto">
                    <a:xfrm>
                      <a:off x="0" y="0"/>
                      <a:ext cx="8111490" cy="5651500"/>
                    </a:xfrm>
                    <a:prstGeom prst="rect">
                      <a:avLst/>
                    </a:prstGeom>
                    <a:ln>
                      <a:noFill/>
                    </a:ln>
                    <a:extLst>
                      <a:ext uri="{53640926-AAD7-44D8-BBD7-CCE9431645EC}">
                        <a14:shadowObscured xmlns:a14="http://schemas.microsoft.com/office/drawing/2010/main"/>
                      </a:ext>
                    </a:extLst>
                  </pic:spPr>
                </pic:pic>
              </a:graphicData>
            </a:graphic>
          </wp:anchor>
        </w:drawing>
      </w:r>
      <w:r w:rsidR="00AA49C1" w:rsidRPr="00F17C72">
        <w:rPr>
          <w:rFonts w:ascii="Selawik" w:hAnsi="Selawik" w:cs="Arial"/>
          <w:sz w:val="22"/>
          <w:szCs w:val="21"/>
          <w:lang w:eastAsia="fr-FR"/>
        </w:rPr>
        <w:t xml:space="preserve">La délimitation d’une </w:t>
      </w:r>
      <w:r w:rsidR="00DD66F0" w:rsidRPr="00F17C72">
        <w:rPr>
          <w:rFonts w:ascii="Selawik" w:hAnsi="Selawik" w:cs="Arial"/>
          <w:sz w:val="22"/>
          <w:szCs w:val="21"/>
          <w:lang w:eastAsia="fr-FR"/>
        </w:rPr>
        <w:t xml:space="preserve">nouvelle </w:t>
      </w:r>
      <w:r w:rsidR="00AA49C1" w:rsidRPr="00F17C72">
        <w:rPr>
          <w:rFonts w:ascii="Selawik" w:hAnsi="Selawik" w:cs="Arial"/>
          <w:sz w:val="22"/>
          <w:szCs w:val="21"/>
          <w:lang w:eastAsia="fr-FR"/>
        </w:rPr>
        <w:t>zone de recherche</w:t>
      </w:r>
      <w:r w:rsidR="0027407E" w:rsidRPr="00F17C72">
        <w:rPr>
          <w:rFonts w:ascii="Selawik" w:hAnsi="Selawik" w:cs="Arial"/>
          <w:sz w:val="22"/>
          <w:szCs w:val="21"/>
          <w:lang w:eastAsia="fr-FR"/>
        </w:rPr>
        <w:t xml:space="preserve"> </w:t>
      </w:r>
      <w:r w:rsidR="00DD66F0" w:rsidRPr="00F17C72">
        <w:rPr>
          <w:rFonts w:ascii="Selawik" w:hAnsi="Selawik" w:cs="Arial"/>
          <w:sz w:val="22"/>
          <w:szCs w:val="21"/>
          <w:lang w:eastAsia="fr-FR"/>
        </w:rPr>
        <w:t>et d’exploitation de carrière conformément à l’article R 151-</w:t>
      </w:r>
      <w:r w:rsidR="00347BA8">
        <w:rPr>
          <w:rFonts w:ascii="Selawik" w:hAnsi="Selawik" w:cs="Arial"/>
          <w:sz w:val="22"/>
          <w:szCs w:val="21"/>
          <w:lang w:eastAsia="fr-FR"/>
        </w:rPr>
        <w:t>34-2</w:t>
      </w:r>
      <w:r w:rsidR="00DD66F0" w:rsidRPr="00F17C72">
        <w:rPr>
          <w:rFonts w:ascii="Selawik" w:hAnsi="Selawik" w:cs="Arial"/>
          <w:sz w:val="22"/>
          <w:szCs w:val="21"/>
          <w:lang w:eastAsia="fr-FR"/>
        </w:rPr>
        <w:t xml:space="preserve">° du code de l’urbanisme porte sur 394 040 m² soit 39,4040 ha. L’ensemble de la zone de recherche et d’exploitation de carrière fera après mise en compatibilité du PLU </w:t>
      </w:r>
      <w:r w:rsidR="00F17C72" w:rsidRPr="00F17C72">
        <w:rPr>
          <w:rFonts w:ascii="Selawik" w:hAnsi="Selawik" w:cs="Arial"/>
          <w:sz w:val="22"/>
          <w:szCs w:val="21"/>
          <w:lang w:eastAsia="fr-FR"/>
        </w:rPr>
        <w:t>1</w:t>
      </w:r>
      <w:r w:rsidR="00F17C72" w:rsidRPr="00F17C72">
        <w:rPr>
          <w:rFonts w:ascii="Calibri" w:hAnsi="Calibri" w:cs="Calibri"/>
          <w:sz w:val="22"/>
          <w:szCs w:val="21"/>
          <w:lang w:eastAsia="fr-FR"/>
        </w:rPr>
        <w:t> </w:t>
      </w:r>
      <w:r w:rsidR="00F17C72" w:rsidRPr="00F17C72">
        <w:rPr>
          <w:rFonts w:ascii="Selawik" w:hAnsi="Selawik" w:cs="Arial"/>
          <w:sz w:val="22"/>
          <w:szCs w:val="21"/>
          <w:lang w:eastAsia="fr-FR"/>
        </w:rPr>
        <w:t>424</w:t>
      </w:r>
      <w:r w:rsidR="00F17C72" w:rsidRPr="00F17C72">
        <w:rPr>
          <w:rFonts w:ascii="Calibri" w:hAnsi="Calibri" w:cs="Calibri"/>
          <w:sz w:val="22"/>
          <w:szCs w:val="21"/>
          <w:lang w:eastAsia="fr-FR"/>
        </w:rPr>
        <w:t> </w:t>
      </w:r>
      <w:r w:rsidR="00F17C72" w:rsidRPr="00F17C72">
        <w:rPr>
          <w:rFonts w:ascii="Selawik" w:hAnsi="Selawik" w:cs="Arial"/>
          <w:sz w:val="22"/>
          <w:szCs w:val="21"/>
          <w:lang w:eastAsia="fr-FR"/>
        </w:rPr>
        <w:t>040 m² soit 142,404 ha</w:t>
      </w:r>
      <w:r w:rsidR="00CC165A" w:rsidRPr="00F17C72">
        <w:rPr>
          <w:rFonts w:ascii="Selawik" w:hAnsi="Selawik" w:cs="Arial"/>
          <w:sz w:val="22"/>
          <w:szCs w:val="21"/>
          <w:lang w:eastAsia="fr-FR"/>
        </w:rPr>
        <w:t>. Ce périmètre total fera l’objet d’une remise en état finale du si</w:t>
      </w:r>
      <w:r w:rsidR="001170FF">
        <w:rPr>
          <w:rFonts w:ascii="Selawik" w:hAnsi="Selawik" w:cs="Arial"/>
          <w:sz w:val="22"/>
          <w:szCs w:val="21"/>
          <w:lang w:eastAsia="fr-FR"/>
        </w:rPr>
        <w:t>te.</w:t>
      </w:r>
    </w:p>
    <w:p w14:paraId="61D0AD23" w14:textId="51C29344" w:rsidR="00075FE9" w:rsidRDefault="00075FE9" w:rsidP="007C5C54">
      <w:pPr>
        <w:spacing w:line="278" w:lineRule="auto"/>
        <w:rPr>
          <w:rFonts w:ascii="Selawik" w:hAnsi="Selawik"/>
          <w:sz w:val="23"/>
          <w:szCs w:val="23"/>
        </w:rPr>
      </w:pPr>
    </w:p>
    <w:sectPr w:rsidR="00075FE9" w:rsidSect="00B47593">
      <w:footerReference w:type="default" r:id="rId26"/>
      <w:pgSz w:w="11906" w:h="16838"/>
      <w:pgMar w:top="454" w:right="1134" w:bottom="45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DFDFD" w14:textId="77777777" w:rsidR="00255527" w:rsidRDefault="00255527" w:rsidP="009F0FF0">
      <w:pPr>
        <w:spacing w:after="0" w:line="240" w:lineRule="auto"/>
      </w:pPr>
      <w:r>
        <w:separator/>
      </w:r>
    </w:p>
    <w:p w14:paraId="67F589AE" w14:textId="77777777" w:rsidR="00255527" w:rsidRDefault="00255527"/>
  </w:endnote>
  <w:endnote w:type="continuationSeparator" w:id="0">
    <w:p w14:paraId="60C971CB" w14:textId="77777777" w:rsidR="00255527" w:rsidRDefault="00255527" w:rsidP="009F0FF0">
      <w:pPr>
        <w:spacing w:after="0" w:line="240" w:lineRule="auto"/>
      </w:pPr>
      <w:r>
        <w:continuationSeparator/>
      </w:r>
    </w:p>
    <w:p w14:paraId="2B1F74C1" w14:textId="77777777" w:rsidR="00255527" w:rsidRDefault="00255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lawik">
    <w:altName w:val="Selawik"/>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erlin Sans FB">
    <w:charset w:val="00"/>
    <w:family w:val="swiss"/>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vant Garde">
    <w:altName w:val="Century Gothic"/>
    <w:panose1 w:val="00000000000000000000"/>
    <w:charset w:val="00"/>
    <w:family w:val="auto"/>
    <w:notTrueType/>
    <w:pitch w:val="variable"/>
    <w:sig w:usb0="00000003" w:usb1="00000000" w:usb2="00000000" w:usb3="00000000" w:csb0="00000001" w:csb1="00000000"/>
  </w:font>
  <w:font w:name="Aller">
    <w:altName w:val="Calibri"/>
    <w:charset w:val="00"/>
    <w:family w:val="auto"/>
    <w:pitch w:val="variable"/>
    <w:sig w:usb0="A00000AF" w:usb1="5000205B"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 w:name="Liberation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0CE1" w14:textId="3594F55D" w:rsidR="006F68CE" w:rsidRPr="00EA56F7" w:rsidRDefault="007C5C54" w:rsidP="0087365F">
    <w:pPr>
      <w:tabs>
        <w:tab w:val="center" w:pos="4536"/>
        <w:tab w:val="right" w:pos="9638"/>
      </w:tabs>
      <w:spacing w:after="0" w:line="259" w:lineRule="auto"/>
      <w:rPr>
        <w:rFonts w:ascii="Selawik" w:eastAsia="Times New Roman" w:hAnsi="Selawik" w:cstheme="minorBidi"/>
        <w:b/>
        <w:sz w:val="17"/>
        <w:szCs w:val="17"/>
        <w:lang w:eastAsia="fr-FR"/>
      </w:rPr>
    </w:pPr>
    <w:r>
      <w:rPr>
        <w:rFonts w:ascii="Selawik" w:eastAsia="Times New Roman" w:hAnsi="Selawik" w:cstheme="minorBidi"/>
        <w:b/>
        <w:sz w:val="17"/>
        <w:szCs w:val="17"/>
        <w:lang w:eastAsia="fr-FR"/>
      </w:rPr>
      <w:t>Résumé du projet</w:t>
    </w:r>
    <w:r w:rsidR="006F68CE">
      <w:rPr>
        <w:rFonts w:ascii="Selawik" w:eastAsia="Times New Roman" w:hAnsi="Selawik" w:cstheme="minorBidi"/>
        <w:b/>
        <w:sz w:val="17"/>
        <w:szCs w:val="17"/>
        <w:lang w:eastAsia="fr-FR"/>
      </w:rPr>
      <w:t xml:space="preserve"> </w:t>
    </w:r>
    <w:r w:rsidR="006F68CE" w:rsidRPr="00EA56F7">
      <w:rPr>
        <w:rFonts w:ascii="Selawik" w:eastAsia="Times New Roman" w:hAnsi="Selawik" w:cstheme="minorBidi"/>
        <w:sz w:val="17"/>
        <w:szCs w:val="17"/>
        <w:lang w:eastAsia="fr-FR"/>
      </w:rPr>
      <w:t xml:space="preserve">– Déclaration de projet n°1 </w:t>
    </w:r>
    <w:r w:rsidR="006F68CE">
      <w:rPr>
        <w:rFonts w:ascii="Selawik" w:eastAsia="Times New Roman" w:hAnsi="Selawik" w:cstheme="minorBidi"/>
        <w:sz w:val="17"/>
        <w:szCs w:val="17"/>
        <w:lang w:eastAsia="fr-FR"/>
      </w:rPr>
      <w:t xml:space="preserve">avec </w:t>
    </w:r>
    <w:r w:rsidR="006F68CE" w:rsidRPr="00EA56F7">
      <w:rPr>
        <w:rFonts w:ascii="Selawik" w:eastAsia="Times New Roman" w:hAnsi="Selawik" w:cstheme="minorBidi"/>
        <w:sz w:val="17"/>
        <w:szCs w:val="17"/>
        <w:lang w:eastAsia="fr-FR"/>
      </w:rPr>
      <w:t>mise en compatibilité du PLU</w:t>
    </w:r>
    <w:r w:rsidR="006F68CE">
      <w:rPr>
        <w:rFonts w:ascii="Selawik" w:eastAsia="Times New Roman" w:hAnsi="Selawik" w:cstheme="minorBidi"/>
        <w:sz w:val="17"/>
        <w:szCs w:val="17"/>
        <w:lang w:eastAsia="fr-FR"/>
      </w:rPr>
      <w:tab/>
      <w:t xml:space="preserve">                </w:t>
    </w:r>
    <w:r w:rsidR="006F68CE" w:rsidRPr="00EA56F7">
      <w:rPr>
        <w:rFonts w:ascii="Selawik" w:eastAsia="Times New Roman" w:hAnsi="Selawik" w:cstheme="minorBidi"/>
        <w:sz w:val="17"/>
        <w:szCs w:val="17"/>
        <w:lang w:eastAsia="fr-FR"/>
      </w:rPr>
      <w:t>Page</w:t>
    </w:r>
    <w:r w:rsidR="006F68CE" w:rsidRPr="00EA56F7">
      <w:rPr>
        <w:rFonts w:ascii="Selawik" w:eastAsia="Times New Roman" w:hAnsi="Selawik" w:cstheme="minorBidi"/>
        <w:color w:val="333333"/>
        <w:sz w:val="17"/>
        <w:szCs w:val="17"/>
        <w:lang w:eastAsia="fr-FR"/>
      </w:rPr>
      <w:t xml:space="preserve"> | </w:t>
    </w:r>
    <w:r w:rsidR="006F68CE" w:rsidRPr="00EA56F7">
      <w:rPr>
        <w:rFonts w:ascii="Selawik" w:eastAsia="Times New Roman" w:hAnsi="Selawik" w:cstheme="minorBidi"/>
        <w:color w:val="333333"/>
        <w:sz w:val="17"/>
        <w:szCs w:val="17"/>
        <w:lang w:eastAsia="fr-FR"/>
      </w:rPr>
      <w:fldChar w:fldCharType="begin"/>
    </w:r>
    <w:r w:rsidR="006F68CE" w:rsidRPr="00EA56F7">
      <w:rPr>
        <w:rFonts w:ascii="Selawik" w:eastAsia="Times New Roman" w:hAnsi="Selawik" w:cstheme="minorBidi"/>
        <w:color w:val="333333"/>
        <w:sz w:val="17"/>
        <w:szCs w:val="17"/>
        <w:lang w:eastAsia="fr-FR"/>
      </w:rPr>
      <w:instrText>PAGE   \* MERGEFORMAT</w:instrText>
    </w:r>
    <w:r w:rsidR="006F68CE" w:rsidRPr="00EA56F7">
      <w:rPr>
        <w:rFonts w:ascii="Selawik" w:eastAsia="Times New Roman" w:hAnsi="Selawik" w:cstheme="minorBidi"/>
        <w:color w:val="333333"/>
        <w:sz w:val="17"/>
        <w:szCs w:val="17"/>
        <w:lang w:eastAsia="fr-FR"/>
      </w:rPr>
      <w:fldChar w:fldCharType="separate"/>
    </w:r>
    <w:r w:rsidR="006F68CE">
      <w:rPr>
        <w:rFonts w:ascii="Selawik" w:eastAsia="Times New Roman" w:hAnsi="Selawik" w:cstheme="minorBidi"/>
        <w:noProof/>
        <w:color w:val="333333"/>
        <w:sz w:val="17"/>
        <w:szCs w:val="17"/>
        <w:lang w:eastAsia="fr-FR"/>
      </w:rPr>
      <w:t>23</w:t>
    </w:r>
    <w:r w:rsidR="006F68CE" w:rsidRPr="00EA56F7">
      <w:rPr>
        <w:rFonts w:ascii="Selawik" w:eastAsia="Times New Roman" w:hAnsi="Selawik" w:cstheme="minorBidi"/>
        <w:b/>
        <w:bCs/>
        <w:color w:val="333333"/>
        <w:sz w:val="17"/>
        <w:szCs w:val="17"/>
        <w:lang w:eastAsia="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2D03" w14:textId="107BB824" w:rsidR="006F68CE" w:rsidRPr="00AA49C1" w:rsidRDefault="007C5C54" w:rsidP="00B47593">
    <w:pPr>
      <w:tabs>
        <w:tab w:val="center" w:pos="4536"/>
        <w:tab w:val="right" w:pos="9072"/>
      </w:tabs>
      <w:spacing w:after="0" w:line="259" w:lineRule="auto"/>
      <w:ind w:left="709"/>
      <w:rPr>
        <w:rFonts w:ascii="Selawik" w:eastAsia="Times New Roman" w:hAnsi="Selawik" w:cstheme="minorBidi"/>
        <w:b/>
        <w:sz w:val="19"/>
        <w:szCs w:val="19"/>
        <w:lang w:eastAsia="fr-FR"/>
      </w:rPr>
    </w:pPr>
    <w:r>
      <w:rPr>
        <w:rFonts w:ascii="Selawik" w:eastAsia="Times New Roman" w:hAnsi="Selawik" w:cstheme="minorBidi"/>
        <w:b/>
        <w:sz w:val="19"/>
        <w:szCs w:val="19"/>
        <w:lang w:eastAsia="fr-FR"/>
      </w:rPr>
      <w:t>Résumé du projet</w:t>
    </w:r>
    <w:r w:rsidR="006F68CE" w:rsidRPr="00AA49C1">
      <w:rPr>
        <w:rFonts w:ascii="Selawik" w:eastAsia="Times New Roman" w:hAnsi="Selawik" w:cstheme="minorBidi"/>
        <w:b/>
        <w:sz w:val="19"/>
        <w:szCs w:val="19"/>
        <w:lang w:eastAsia="fr-FR"/>
      </w:rPr>
      <w:t xml:space="preserve"> </w:t>
    </w:r>
    <w:r w:rsidR="006F68CE" w:rsidRPr="00AA49C1">
      <w:rPr>
        <w:rFonts w:ascii="Selawik" w:eastAsia="Times New Roman" w:hAnsi="Selawik" w:cstheme="minorBidi"/>
        <w:sz w:val="19"/>
        <w:szCs w:val="19"/>
        <w:lang w:eastAsia="fr-FR"/>
      </w:rPr>
      <w:t>– Déclaration de projet n°1 emportant mise en compatibilité du PLU</w:t>
    </w:r>
    <w:r w:rsidR="006F68CE" w:rsidRPr="00AA49C1">
      <w:rPr>
        <w:rFonts w:ascii="Selawik" w:eastAsia="Times New Roman" w:hAnsi="Selawik" w:cstheme="minorBidi"/>
        <w:sz w:val="19"/>
        <w:szCs w:val="19"/>
        <w:lang w:eastAsia="fr-FR"/>
      </w:rPr>
      <w:tab/>
      <w:t xml:space="preserve">   </w:t>
    </w:r>
    <w:r w:rsidR="006F68CE" w:rsidRPr="00AA49C1">
      <w:rPr>
        <w:rFonts w:ascii="Selawik" w:eastAsia="Times New Roman" w:hAnsi="Selawik" w:cstheme="minorBidi"/>
        <w:sz w:val="19"/>
        <w:szCs w:val="19"/>
        <w:lang w:eastAsia="fr-FR"/>
      </w:rPr>
      <w:tab/>
    </w:r>
    <w:r w:rsidR="006F68CE" w:rsidRPr="00AA49C1">
      <w:rPr>
        <w:rFonts w:ascii="Selawik" w:eastAsia="Times New Roman" w:hAnsi="Selawik" w:cstheme="minorBidi"/>
        <w:sz w:val="19"/>
        <w:szCs w:val="19"/>
        <w:lang w:eastAsia="fr-FR"/>
      </w:rPr>
      <w:tab/>
    </w:r>
    <w:r w:rsidR="006F68CE" w:rsidRPr="00AA49C1">
      <w:rPr>
        <w:rFonts w:ascii="Selawik" w:eastAsia="Times New Roman" w:hAnsi="Selawik" w:cstheme="minorBidi"/>
        <w:sz w:val="19"/>
        <w:szCs w:val="19"/>
        <w:lang w:eastAsia="fr-FR"/>
      </w:rPr>
      <w:tab/>
      <w:t xml:space="preserve">    </w:t>
    </w:r>
    <w:r w:rsidR="006F68CE" w:rsidRPr="00AA49C1">
      <w:rPr>
        <w:rFonts w:ascii="Selawik" w:eastAsia="Times New Roman" w:hAnsi="Selawik" w:cstheme="minorBidi"/>
        <w:b/>
        <w:sz w:val="19"/>
        <w:szCs w:val="19"/>
        <w:lang w:eastAsia="fr-FR"/>
      </w:rPr>
      <w:t xml:space="preserve"> </w:t>
    </w:r>
    <w:r w:rsidR="006F68CE" w:rsidRPr="00AA49C1">
      <w:rPr>
        <w:rFonts w:ascii="Selawik" w:eastAsia="Times New Roman" w:hAnsi="Selawik" w:cstheme="minorBidi"/>
        <w:sz w:val="19"/>
        <w:szCs w:val="19"/>
        <w:lang w:eastAsia="fr-FR"/>
      </w:rPr>
      <w:t>Page</w:t>
    </w:r>
    <w:r w:rsidR="006F68CE" w:rsidRPr="00AA49C1">
      <w:rPr>
        <w:rFonts w:ascii="Selawik" w:eastAsia="Times New Roman" w:hAnsi="Selawik" w:cstheme="minorBidi"/>
        <w:color w:val="333333"/>
        <w:sz w:val="19"/>
        <w:szCs w:val="19"/>
        <w:lang w:eastAsia="fr-FR"/>
      </w:rPr>
      <w:t xml:space="preserve"> | </w:t>
    </w:r>
    <w:r w:rsidR="006F68CE" w:rsidRPr="00AA49C1">
      <w:rPr>
        <w:rFonts w:ascii="Selawik" w:eastAsia="Times New Roman" w:hAnsi="Selawik" w:cstheme="minorBidi"/>
        <w:color w:val="333333"/>
        <w:sz w:val="19"/>
        <w:szCs w:val="19"/>
        <w:lang w:eastAsia="fr-FR"/>
      </w:rPr>
      <w:fldChar w:fldCharType="begin"/>
    </w:r>
    <w:r w:rsidR="006F68CE" w:rsidRPr="00AA49C1">
      <w:rPr>
        <w:rFonts w:ascii="Selawik" w:eastAsia="Times New Roman" w:hAnsi="Selawik" w:cstheme="minorBidi"/>
        <w:color w:val="333333"/>
        <w:sz w:val="19"/>
        <w:szCs w:val="19"/>
        <w:lang w:eastAsia="fr-FR"/>
      </w:rPr>
      <w:instrText>PAGE   \* MERGEFORMAT</w:instrText>
    </w:r>
    <w:r w:rsidR="006F68CE" w:rsidRPr="00AA49C1">
      <w:rPr>
        <w:rFonts w:ascii="Selawik" w:eastAsia="Times New Roman" w:hAnsi="Selawik" w:cstheme="minorBidi"/>
        <w:color w:val="333333"/>
        <w:sz w:val="19"/>
        <w:szCs w:val="19"/>
        <w:lang w:eastAsia="fr-FR"/>
      </w:rPr>
      <w:fldChar w:fldCharType="separate"/>
    </w:r>
    <w:r w:rsidR="006F68CE">
      <w:rPr>
        <w:rFonts w:ascii="Selawik" w:eastAsia="Times New Roman" w:hAnsi="Selawik" w:cstheme="minorBidi"/>
        <w:noProof/>
        <w:color w:val="333333"/>
        <w:sz w:val="19"/>
        <w:szCs w:val="19"/>
        <w:lang w:eastAsia="fr-FR"/>
      </w:rPr>
      <w:t>77</w:t>
    </w:r>
    <w:r w:rsidR="006F68CE" w:rsidRPr="00AA49C1">
      <w:rPr>
        <w:rFonts w:ascii="Selawik" w:eastAsia="Times New Roman" w:hAnsi="Selawik" w:cstheme="minorBidi"/>
        <w:b/>
        <w:bCs/>
        <w:color w:val="333333"/>
        <w:sz w:val="19"/>
        <w:szCs w:val="19"/>
        <w:lang w:eastAsia="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3CAD" w14:textId="15C20CCE" w:rsidR="006F68CE" w:rsidRPr="00B47593" w:rsidRDefault="006F68CE" w:rsidP="00B47593">
    <w:pPr>
      <w:tabs>
        <w:tab w:val="center" w:pos="4536"/>
        <w:tab w:val="right" w:pos="9072"/>
      </w:tabs>
      <w:spacing w:after="0" w:line="259" w:lineRule="auto"/>
      <w:rPr>
        <w:rFonts w:ascii="Selawik" w:eastAsia="Times New Roman" w:hAnsi="Selawik" w:cstheme="minorBidi"/>
        <w:b/>
        <w:sz w:val="17"/>
        <w:szCs w:val="17"/>
        <w:lang w:eastAsia="fr-FR"/>
      </w:rPr>
    </w:pPr>
    <w:r w:rsidRPr="00EA56F7">
      <w:rPr>
        <w:rFonts w:ascii="Selawik" w:eastAsia="Times New Roman" w:hAnsi="Selawik" w:cstheme="minorBidi"/>
        <w:b/>
        <w:sz w:val="17"/>
        <w:szCs w:val="17"/>
        <w:lang w:eastAsia="fr-FR"/>
      </w:rPr>
      <w:t xml:space="preserve">Additif au rapport de présentation du PLU </w:t>
    </w:r>
    <w:r w:rsidRPr="00EA56F7">
      <w:rPr>
        <w:rFonts w:ascii="Selawik" w:eastAsia="Times New Roman" w:hAnsi="Selawik" w:cstheme="minorBidi"/>
        <w:sz w:val="17"/>
        <w:szCs w:val="17"/>
        <w:lang w:eastAsia="fr-FR"/>
      </w:rPr>
      <w:t>– Déclaration de projet n°1 emportant mise en compatibilité du PLU</w:t>
    </w:r>
    <w:r>
      <w:rPr>
        <w:rFonts w:ascii="Selawik" w:eastAsia="Times New Roman" w:hAnsi="Selawik" w:cstheme="minorBidi"/>
        <w:sz w:val="17"/>
        <w:szCs w:val="17"/>
        <w:lang w:eastAsia="fr-FR"/>
      </w:rPr>
      <w:tab/>
      <w:t xml:space="preserve">       </w:t>
    </w:r>
    <w:r w:rsidRPr="00EA56F7">
      <w:rPr>
        <w:rFonts w:ascii="Selawik" w:eastAsia="Times New Roman" w:hAnsi="Selawik" w:cstheme="minorBidi"/>
        <w:b/>
        <w:sz w:val="17"/>
        <w:szCs w:val="17"/>
        <w:lang w:eastAsia="fr-FR"/>
      </w:rPr>
      <w:t xml:space="preserve"> </w:t>
    </w:r>
    <w:r w:rsidRPr="00EA56F7">
      <w:rPr>
        <w:rFonts w:ascii="Selawik" w:eastAsia="Times New Roman" w:hAnsi="Selawik" w:cstheme="minorBidi"/>
        <w:sz w:val="17"/>
        <w:szCs w:val="17"/>
        <w:lang w:eastAsia="fr-FR"/>
      </w:rPr>
      <w:t>Page</w:t>
    </w:r>
    <w:r w:rsidRPr="00EA56F7">
      <w:rPr>
        <w:rFonts w:ascii="Selawik" w:eastAsia="Times New Roman" w:hAnsi="Selawik" w:cstheme="minorBidi"/>
        <w:color w:val="333333"/>
        <w:sz w:val="17"/>
        <w:szCs w:val="17"/>
        <w:lang w:eastAsia="fr-FR"/>
      </w:rPr>
      <w:t xml:space="preserve"> | </w:t>
    </w:r>
    <w:r w:rsidRPr="00EA56F7">
      <w:rPr>
        <w:rFonts w:ascii="Selawik" w:eastAsia="Times New Roman" w:hAnsi="Selawik" w:cstheme="minorBidi"/>
        <w:color w:val="333333"/>
        <w:sz w:val="17"/>
        <w:szCs w:val="17"/>
        <w:lang w:eastAsia="fr-FR"/>
      </w:rPr>
      <w:fldChar w:fldCharType="begin"/>
    </w:r>
    <w:r w:rsidRPr="00EA56F7">
      <w:rPr>
        <w:rFonts w:ascii="Selawik" w:eastAsia="Times New Roman" w:hAnsi="Selawik" w:cstheme="minorBidi"/>
        <w:color w:val="333333"/>
        <w:sz w:val="17"/>
        <w:szCs w:val="17"/>
        <w:lang w:eastAsia="fr-FR"/>
      </w:rPr>
      <w:instrText>PAGE   \* MERGEFORMAT</w:instrText>
    </w:r>
    <w:r w:rsidRPr="00EA56F7">
      <w:rPr>
        <w:rFonts w:ascii="Selawik" w:eastAsia="Times New Roman" w:hAnsi="Selawik" w:cstheme="minorBidi"/>
        <w:color w:val="333333"/>
        <w:sz w:val="17"/>
        <w:szCs w:val="17"/>
        <w:lang w:eastAsia="fr-FR"/>
      </w:rPr>
      <w:fldChar w:fldCharType="separate"/>
    </w:r>
    <w:r>
      <w:rPr>
        <w:rFonts w:ascii="Selawik" w:eastAsia="Times New Roman" w:hAnsi="Selawik" w:cstheme="minorBidi"/>
        <w:noProof/>
        <w:color w:val="333333"/>
        <w:sz w:val="17"/>
        <w:szCs w:val="17"/>
        <w:lang w:eastAsia="fr-FR"/>
      </w:rPr>
      <w:t>80</w:t>
    </w:r>
    <w:r w:rsidRPr="00EA56F7">
      <w:rPr>
        <w:rFonts w:ascii="Selawik" w:eastAsia="Times New Roman" w:hAnsi="Selawik" w:cstheme="minorBidi"/>
        <w:b/>
        <w:bCs/>
        <w:color w:val="333333"/>
        <w:sz w:val="17"/>
        <w:szCs w:val="17"/>
        <w:lang w:eastAsia="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7D489" w14:textId="77777777" w:rsidR="00255527" w:rsidRDefault="00255527" w:rsidP="009F0FF0">
      <w:pPr>
        <w:spacing w:after="0" w:line="240" w:lineRule="auto"/>
      </w:pPr>
      <w:r>
        <w:separator/>
      </w:r>
    </w:p>
    <w:p w14:paraId="3D318D9F" w14:textId="77777777" w:rsidR="00255527" w:rsidRDefault="00255527"/>
  </w:footnote>
  <w:footnote w:type="continuationSeparator" w:id="0">
    <w:p w14:paraId="3BE941D8" w14:textId="77777777" w:rsidR="00255527" w:rsidRDefault="00255527" w:rsidP="009F0FF0">
      <w:pPr>
        <w:spacing w:after="0" w:line="240" w:lineRule="auto"/>
      </w:pPr>
      <w:r>
        <w:continuationSeparator/>
      </w:r>
    </w:p>
    <w:p w14:paraId="7E8FCDD0" w14:textId="77777777" w:rsidR="00255527" w:rsidRDefault="002555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1B60" w14:textId="77777777" w:rsidR="006F68CE" w:rsidRPr="00084FB5" w:rsidRDefault="006F68CE" w:rsidP="00C846FC">
    <w:pPr>
      <w:pStyle w:val="En-tte"/>
      <w:spacing w:after="0"/>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A9866B6"/>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8220F84"/>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DB28EFC"/>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C84EED8"/>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2E36EA6"/>
    <w:multiLevelType w:val="hybridMultilevel"/>
    <w:tmpl w:val="CAFE0BC4"/>
    <w:lvl w:ilvl="0" w:tplc="5CE2CBFA">
      <w:start w:val="2"/>
      <w:numFmt w:val="decimal"/>
      <w:lvlText w:val="%1."/>
      <w:lvlJc w:val="left"/>
      <w:pPr>
        <w:ind w:left="644" w:hanging="360"/>
      </w:pPr>
      <w:rPr>
        <w:rFonts w:hint="default"/>
        <w:color w:val="000000"/>
        <w:sz w:val="20"/>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534450C"/>
    <w:multiLevelType w:val="singleLevel"/>
    <w:tmpl w:val="C54ED4FA"/>
    <w:lvl w:ilvl="0">
      <w:start w:val="1"/>
      <w:numFmt w:val="bullet"/>
      <w:pStyle w:val="Liste1puces"/>
      <w:lvlText w:val=""/>
      <w:lvlJc w:val="left"/>
      <w:pPr>
        <w:tabs>
          <w:tab w:val="num" w:pos="1134"/>
        </w:tabs>
        <w:ind w:left="1134" w:hanging="567"/>
      </w:pPr>
      <w:rPr>
        <w:rFonts w:ascii="Wingdings" w:hAnsi="Wingdings" w:hint="default"/>
        <w:sz w:val="20"/>
      </w:rPr>
    </w:lvl>
  </w:abstractNum>
  <w:abstractNum w:abstractNumId="6" w15:restartNumberingAfterBreak="0">
    <w:nsid w:val="057761CB"/>
    <w:multiLevelType w:val="hybridMultilevel"/>
    <w:tmpl w:val="08504226"/>
    <w:lvl w:ilvl="0" w:tplc="A990A59C">
      <w:start w:val="1"/>
      <w:numFmt w:val="bullet"/>
      <w:lvlText w:val="&gt;"/>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F246BE"/>
    <w:multiLevelType w:val="hybridMultilevel"/>
    <w:tmpl w:val="F4006C9C"/>
    <w:lvl w:ilvl="0" w:tplc="C98ED74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E4E7BCC"/>
    <w:multiLevelType w:val="hybridMultilevel"/>
    <w:tmpl w:val="FED25ADA"/>
    <w:lvl w:ilvl="0" w:tplc="DBFCD926">
      <w:start w:val="1"/>
      <w:numFmt w:val="bullet"/>
      <w:pStyle w:val="Soustitreavecpuce"/>
      <w:lvlText w:val=""/>
      <w:lvlJc w:val="left"/>
      <w:pPr>
        <w:tabs>
          <w:tab w:val="num" w:pos="1437"/>
        </w:tabs>
        <w:ind w:left="1494" w:hanging="57"/>
      </w:pPr>
      <w:rPr>
        <w:rFonts w:ascii="Wingdings" w:hAnsi="Wingdings" w:hint="default"/>
        <w:color w:val="3366FF"/>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C63426"/>
    <w:multiLevelType w:val="hybridMultilevel"/>
    <w:tmpl w:val="A9B64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3431AB"/>
    <w:multiLevelType w:val="hybridMultilevel"/>
    <w:tmpl w:val="49B651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475D1"/>
    <w:multiLevelType w:val="multilevel"/>
    <w:tmpl w:val="79B8E818"/>
    <w:lvl w:ilvl="0">
      <w:start w:val="1"/>
      <w:numFmt w:val="decimal"/>
      <w:pStyle w:val="Titre1"/>
      <w:lvlText w:val="%1."/>
      <w:lvlJc w:val="left"/>
      <w:pPr>
        <w:tabs>
          <w:tab w:val="num" w:pos="5889"/>
        </w:tabs>
        <w:ind w:left="5889" w:hanging="360"/>
      </w:pPr>
      <w:rPr>
        <w:i w:val="0"/>
        <w:sz w:val="28"/>
        <w:szCs w:val="28"/>
      </w:rPr>
    </w:lvl>
    <w:lvl w:ilvl="1">
      <w:start w:val="2"/>
      <w:numFmt w:val="decimal"/>
      <w:isLgl/>
      <w:lvlText w:val="%1.%2."/>
      <w:lvlJc w:val="left"/>
      <w:pPr>
        <w:ind w:left="1272" w:hanging="552"/>
      </w:pPr>
      <w:rPr>
        <w:rFonts w:hint="default"/>
        <w:u w:val="none"/>
      </w:rPr>
    </w:lvl>
    <w:lvl w:ilvl="2">
      <w:start w:val="2"/>
      <w:numFmt w:val="decimal"/>
      <w:isLgl/>
      <w:lvlText w:val="%1.%2.%3."/>
      <w:lvlJc w:val="left"/>
      <w:pPr>
        <w:ind w:left="1440" w:hanging="720"/>
      </w:pPr>
      <w:rPr>
        <w:rFonts w:hint="default"/>
        <w:u w:val="none"/>
      </w:rPr>
    </w:lvl>
    <w:lvl w:ilvl="3">
      <w:start w:val="1"/>
      <w:numFmt w:val="decimal"/>
      <w:isLgl/>
      <w:lvlText w:val="%1.%2.%3.%4."/>
      <w:lvlJc w:val="left"/>
      <w:pPr>
        <w:ind w:left="1440" w:hanging="720"/>
      </w:pPr>
      <w:rPr>
        <w:rFonts w:hint="default"/>
        <w:u w:val="none"/>
      </w:rPr>
    </w:lvl>
    <w:lvl w:ilvl="4">
      <w:start w:val="1"/>
      <w:numFmt w:val="decimal"/>
      <w:isLgl/>
      <w:lvlText w:val="%1.%2.%3.%4.%5."/>
      <w:lvlJc w:val="left"/>
      <w:pPr>
        <w:ind w:left="1800" w:hanging="1080"/>
      </w:pPr>
      <w:rPr>
        <w:rFonts w:hint="default"/>
        <w:u w:val="none"/>
      </w:rPr>
    </w:lvl>
    <w:lvl w:ilvl="5">
      <w:start w:val="1"/>
      <w:numFmt w:val="decimal"/>
      <w:isLgl/>
      <w:lvlText w:val="%1.%2.%3.%4.%5.%6."/>
      <w:lvlJc w:val="left"/>
      <w:pPr>
        <w:ind w:left="1800" w:hanging="1080"/>
      </w:pPr>
      <w:rPr>
        <w:rFonts w:hint="default"/>
        <w:u w:val="none"/>
      </w:rPr>
    </w:lvl>
    <w:lvl w:ilvl="6">
      <w:start w:val="1"/>
      <w:numFmt w:val="decimal"/>
      <w:isLgl/>
      <w:lvlText w:val="%1.%2.%3.%4.%5.%6.%7."/>
      <w:lvlJc w:val="left"/>
      <w:pPr>
        <w:ind w:left="2160" w:hanging="1440"/>
      </w:pPr>
      <w:rPr>
        <w:rFonts w:hint="default"/>
        <w:u w:val="none"/>
      </w:rPr>
    </w:lvl>
    <w:lvl w:ilvl="7">
      <w:start w:val="1"/>
      <w:numFmt w:val="decimal"/>
      <w:isLgl/>
      <w:lvlText w:val="%1.%2.%3.%4.%5.%6.%7.%8."/>
      <w:lvlJc w:val="left"/>
      <w:pPr>
        <w:ind w:left="2160" w:hanging="1440"/>
      </w:pPr>
      <w:rPr>
        <w:rFonts w:hint="default"/>
        <w:u w:val="none"/>
      </w:rPr>
    </w:lvl>
    <w:lvl w:ilvl="8">
      <w:start w:val="1"/>
      <w:numFmt w:val="decimal"/>
      <w:isLgl/>
      <w:lvlText w:val="%1.%2.%3.%4.%5.%6.%7.%8.%9."/>
      <w:lvlJc w:val="left"/>
      <w:pPr>
        <w:ind w:left="2520" w:hanging="1800"/>
      </w:pPr>
      <w:rPr>
        <w:rFonts w:hint="default"/>
        <w:u w:val="none"/>
      </w:rPr>
    </w:lvl>
  </w:abstractNum>
  <w:abstractNum w:abstractNumId="12" w15:restartNumberingAfterBreak="0">
    <w:nsid w:val="246C6A28"/>
    <w:multiLevelType w:val="hybridMultilevel"/>
    <w:tmpl w:val="547EE176"/>
    <w:lvl w:ilvl="0" w:tplc="22F2E8D0">
      <w:start w:val="1"/>
      <w:numFmt w:val="bullet"/>
      <w:lvlText w:val="►"/>
      <w:lvlJc w:val="left"/>
      <w:pPr>
        <w:ind w:left="720" w:hanging="360"/>
      </w:pPr>
      <w:rPr>
        <w:rFonts w:ascii="Century Gothic" w:hAnsi="Century Gothic"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810568"/>
    <w:multiLevelType w:val="hybridMultilevel"/>
    <w:tmpl w:val="402EA0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103A24"/>
    <w:multiLevelType w:val="hybridMultilevel"/>
    <w:tmpl w:val="4E28E2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802790"/>
    <w:multiLevelType w:val="hybridMultilevel"/>
    <w:tmpl w:val="00C4DA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391E6D"/>
    <w:multiLevelType w:val="hybridMultilevel"/>
    <w:tmpl w:val="CC546648"/>
    <w:lvl w:ilvl="0" w:tplc="040C0001">
      <w:start w:val="1"/>
      <w:numFmt w:val="bullet"/>
      <w:lvlText w:val=""/>
      <w:lvlJc w:val="left"/>
      <w:pPr>
        <w:ind w:left="709" w:hanging="360"/>
      </w:pPr>
      <w:rPr>
        <w:rFonts w:ascii="Symbol" w:hAnsi="Symbol" w:hint="default"/>
        <w:color w:val="002060"/>
      </w:rPr>
    </w:lvl>
    <w:lvl w:ilvl="1" w:tplc="91A60E32">
      <w:numFmt w:val="bullet"/>
      <w:lvlText w:val="-"/>
      <w:lvlJc w:val="left"/>
      <w:pPr>
        <w:ind w:left="1429" w:hanging="360"/>
      </w:pPr>
      <w:rPr>
        <w:rFonts w:ascii="Calibri" w:eastAsia="Calibri" w:hAnsi="Calibri" w:cs="Times New Roman"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17" w15:restartNumberingAfterBreak="0">
    <w:nsid w:val="33225F20"/>
    <w:multiLevelType w:val="hybridMultilevel"/>
    <w:tmpl w:val="5016F45E"/>
    <w:lvl w:ilvl="0" w:tplc="040C0001">
      <w:start w:val="1"/>
      <w:numFmt w:val="bullet"/>
      <w:lvlText w:val=""/>
      <w:lvlJc w:val="left"/>
      <w:pPr>
        <w:ind w:left="720" w:hanging="360"/>
      </w:pPr>
      <w:rPr>
        <w:rFonts w:ascii="Symbol" w:hAnsi="Symbol"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B77E77"/>
    <w:multiLevelType w:val="hybridMultilevel"/>
    <w:tmpl w:val="DB26D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B905FD"/>
    <w:multiLevelType w:val="hybridMultilevel"/>
    <w:tmpl w:val="DC62295A"/>
    <w:lvl w:ilvl="0" w:tplc="AF84C958">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40F64D33"/>
    <w:multiLevelType w:val="hybridMultilevel"/>
    <w:tmpl w:val="EF02CFB2"/>
    <w:lvl w:ilvl="0" w:tplc="FCB432EC">
      <w:start w:val="1"/>
      <w:numFmt w:val="bullet"/>
      <w:pStyle w:val="Textepuces"/>
      <w:lvlText w:val=""/>
      <w:lvlJc w:val="left"/>
      <w:pPr>
        <w:tabs>
          <w:tab w:val="num" w:pos="851"/>
        </w:tabs>
        <w:ind w:left="567"/>
      </w:pPr>
      <w:rPr>
        <w:rFonts w:ascii="Wingdings" w:hAnsi="Wingdings" w:cs="Wingdings" w:hint="default"/>
      </w:rPr>
    </w:lvl>
    <w:lvl w:ilvl="1" w:tplc="5594881E">
      <w:numFmt w:val="bullet"/>
      <w:lvlText w:val="-"/>
      <w:lvlJc w:val="left"/>
      <w:pPr>
        <w:tabs>
          <w:tab w:val="num" w:pos="2148"/>
        </w:tabs>
        <w:ind w:left="2148" w:hanging="360"/>
      </w:pPr>
      <w:rPr>
        <w:rFonts w:ascii="Calibri" w:eastAsia="Times New Roman" w:hAnsi="Calibri" w:hint="default"/>
      </w:rPr>
    </w:lvl>
    <w:lvl w:ilvl="2" w:tplc="040C0005">
      <w:start w:val="1"/>
      <w:numFmt w:val="bullet"/>
      <w:lvlText w:val=""/>
      <w:lvlJc w:val="left"/>
      <w:pPr>
        <w:tabs>
          <w:tab w:val="num" w:pos="2868"/>
        </w:tabs>
        <w:ind w:left="2868" w:hanging="360"/>
      </w:pPr>
      <w:rPr>
        <w:rFonts w:ascii="Wingdings" w:hAnsi="Wingdings" w:cs="Wingdings" w:hint="default"/>
      </w:rPr>
    </w:lvl>
    <w:lvl w:ilvl="3" w:tplc="040C0001">
      <w:start w:val="1"/>
      <w:numFmt w:val="bullet"/>
      <w:lvlText w:val=""/>
      <w:lvlJc w:val="left"/>
      <w:pPr>
        <w:tabs>
          <w:tab w:val="num" w:pos="3588"/>
        </w:tabs>
        <w:ind w:left="3588" w:hanging="360"/>
      </w:pPr>
      <w:rPr>
        <w:rFonts w:ascii="Symbol" w:hAnsi="Symbol" w:cs="Symbol" w:hint="default"/>
      </w:rPr>
    </w:lvl>
    <w:lvl w:ilvl="4" w:tplc="040C0003">
      <w:start w:val="1"/>
      <w:numFmt w:val="bullet"/>
      <w:lvlText w:val="o"/>
      <w:lvlJc w:val="left"/>
      <w:pPr>
        <w:tabs>
          <w:tab w:val="num" w:pos="4308"/>
        </w:tabs>
        <w:ind w:left="4308" w:hanging="360"/>
      </w:pPr>
      <w:rPr>
        <w:rFonts w:ascii="Courier New" w:hAnsi="Courier New" w:cs="Courier New" w:hint="default"/>
      </w:rPr>
    </w:lvl>
    <w:lvl w:ilvl="5" w:tplc="040C0005">
      <w:start w:val="1"/>
      <w:numFmt w:val="bullet"/>
      <w:lvlText w:val=""/>
      <w:lvlJc w:val="left"/>
      <w:pPr>
        <w:tabs>
          <w:tab w:val="num" w:pos="5028"/>
        </w:tabs>
        <w:ind w:left="5028" w:hanging="360"/>
      </w:pPr>
      <w:rPr>
        <w:rFonts w:ascii="Wingdings" w:hAnsi="Wingdings" w:cs="Wingdings" w:hint="default"/>
      </w:rPr>
    </w:lvl>
    <w:lvl w:ilvl="6" w:tplc="040C0001">
      <w:start w:val="1"/>
      <w:numFmt w:val="bullet"/>
      <w:lvlText w:val=""/>
      <w:lvlJc w:val="left"/>
      <w:pPr>
        <w:tabs>
          <w:tab w:val="num" w:pos="5748"/>
        </w:tabs>
        <w:ind w:left="5748" w:hanging="360"/>
      </w:pPr>
      <w:rPr>
        <w:rFonts w:ascii="Symbol" w:hAnsi="Symbol" w:cs="Symbol" w:hint="default"/>
      </w:rPr>
    </w:lvl>
    <w:lvl w:ilvl="7" w:tplc="040C0003">
      <w:start w:val="1"/>
      <w:numFmt w:val="bullet"/>
      <w:lvlText w:val="o"/>
      <w:lvlJc w:val="left"/>
      <w:pPr>
        <w:tabs>
          <w:tab w:val="num" w:pos="6468"/>
        </w:tabs>
        <w:ind w:left="6468" w:hanging="360"/>
      </w:pPr>
      <w:rPr>
        <w:rFonts w:ascii="Courier New" w:hAnsi="Courier New" w:cs="Courier New" w:hint="default"/>
      </w:rPr>
    </w:lvl>
    <w:lvl w:ilvl="8" w:tplc="040C0005">
      <w:start w:val="1"/>
      <w:numFmt w:val="bullet"/>
      <w:lvlText w:val=""/>
      <w:lvlJc w:val="left"/>
      <w:pPr>
        <w:tabs>
          <w:tab w:val="num" w:pos="7188"/>
        </w:tabs>
        <w:ind w:left="7188" w:hanging="360"/>
      </w:pPr>
      <w:rPr>
        <w:rFonts w:ascii="Wingdings" w:hAnsi="Wingdings" w:cs="Wingdings" w:hint="default"/>
      </w:rPr>
    </w:lvl>
  </w:abstractNum>
  <w:abstractNum w:abstractNumId="21" w15:restartNumberingAfterBreak="0">
    <w:nsid w:val="42782E54"/>
    <w:multiLevelType w:val="hybridMultilevel"/>
    <w:tmpl w:val="2F30C660"/>
    <w:lvl w:ilvl="0" w:tplc="040C0001">
      <w:start w:val="1"/>
      <w:numFmt w:val="bullet"/>
      <w:lvlText w:val=""/>
      <w:lvlJc w:val="left"/>
      <w:pPr>
        <w:ind w:left="632" w:hanging="360"/>
      </w:pPr>
      <w:rPr>
        <w:rFonts w:ascii="Symbol" w:hAnsi="Symbol" w:hint="default"/>
        <w:color w:val="002060"/>
      </w:rPr>
    </w:lvl>
    <w:lvl w:ilvl="1" w:tplc="DA966B7C">
      <w:numFmt w:val="bullet"/>
      <w:lvlText w:val="-"/>
      <w:lvlJc w:val="left"/>
      <w:pPr>
        <w:ind w:left="1352" w:hanging="360"/>
      </w:pPr>
      <w:rPr>
        <w:rFonts w:ascii="Selawik" w:eastAsia="Calibri" w:hAnsi="Selawik" w:cs="Times New Roman" w:hint="default"/>
      </w:rPr>
    </w:lvl>
    <w:lvl w:ilvl="2" w:tplc="040C0005" w:tentative="1">
      <w:start w:val="1"/>
      <w:numFmt w:val="bullet"/>
      <w:lvlText w:val=""/>
      <w:lvlJc w:val="left"/>
      <w:pPr>
        <w:ind w:left="2072" w:hanging="360"/>
      </w:pPr>
      <w:rPr>
        <w:rFonts w:ascii="Wingdings" w:hAnsi="Wingdings" w:hint="default"/>
      </w:rPr>
    </w:lvl>
    <w:lvl w:ilvl="3" w:tplc="040C0001" w:tentative="1">
      <w:start w:val="1"/>
      <w:numFmt w:val="bullet"/>
      <w:lvlText w:val=""/>
      <w:lvlJc w:val="left"/>
      <w:pPr>
        <w:ind w:left="2792" w:hanging="360"/>
      </w:pPr>
      <w:rPr>
        <w:rFonts w:ascii="Symbol" w:hAnsi="Symbol" w:hint="default"/>
      </w:rPr>
    </w:lvl>
    <w:lvl w:ilvl="4" w:tplc="040C0003" w:tentative="1">
      <w:start w:val="1"/>
      <w:numFmt w:val="bullet"/>
      <w:lvlText w:val="o"/>
      <w:lvlJc w:val="left"/>
      <w:pPr>
        <w:ind w:left="3512" w:hanging="360"/>
      </w:pPr>
      <w:rPr>
        <w:rFonts w:ascii="Courier New" w:hAnsi="Courier New" w:cs="Courier New" w:hint="default"/>
      </w:rPr>
    </w:lvl>
    <w:lvl w:ilvl="5" w:tplc="040C0005" w:tentative="1">
      <w:start w:val="1"/>
      <w:numFmt w:val="bullet"/>
      <w:lvlText w:val=""/>
      <w:lvlJc w:val="left"/>
      <w:pPr>
        <w:ind w:left="4232" w:hanging="360"/>
      </w:pPr>
      <w:rPr>
        <w:rFonts w:ascii="Wingdings" w:hAnsi="Wingdings" w:hint="default"/>
      </w:rPr>
    </w:lvl>
    <w:lvl w:ilvl="6" w:tplc="040C0001" w:tentative="1">
      <w:start w:val="1"/>
      <w:numFmt w:val="bullet"/>
      <w:lvlText w:val=""/>
      <w:lvlJc w:val="left"/>
      <w:pPr>
        <w:ind w:left="4952" w:hanging="360"/>
      </w:pPr>
      <w:rPr>
        <w:rFonts w:ascii="Symbol" w:hAnsi="Symbol" w:hint="default"/>
      </w:rPr>
    </w:lvl>
    <w:lvl w:ilvl="7" w:tplc="040C0003" w:tentative="1">
      <w:start w:val="1"/>
      <w:numFmt w:val="bullet"/>
      <w:lvlText w:val="o"/>
      <w:lvlJc w:val="left"/>
      <w:pPr>
        <w:ind w:left="5672" w:hanging="360"/>
      </w:pPr>
      <w:rPr>
        <w:rFonts w:ascii="Courier New" w:hAnsi="Courier New" w:cs="Courier New" w:hint="default"/>
      </w:rPr>
    </w:lvl>
    <w:lvl w:ilvl="8" w:tplc="040C0005" w:tentative="1">
      <w:start w:val="1"/>
      <w:numFmt w:val="bullet"/>
      <w:lvlText w:val=""/>
      <w:lvlJc w:val="left"/>
      <w:pPr>
        <w:ind w:left="6392" w:hanging="360"/>
      </w:pPr>
      <w:rPr>
        <w:rFonts w:ascii="Wingdings" w:hAnsi="Wingdings" w:hint="default"/>
      </w:rPr>
    </w:lvl>
  </w:abstractNum>
  <w:abstractNum w:abstractNumId="22" w15:restartNumberingAfterBreak="0">
    <w:nsid w:val="44996CA3"/>
    <w:multiLevelType w:val="hybridMultilevel"/>
    <w:tmpl w:val="E22655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A37DB4"/>
    <w:multiLevelType w:val="hybridMultilevel"/>
    <w:tmpl w:val="C942A418"/>
    <w:lvl w:ilvl="0" w:tplc="FF900158">
      <w:start w:val="1"/>
      <w:numFmt w:val="upp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1D9330E"/>
    <w:multiLevelType w:val="hybridMultilevel"/>
    <w:tmpl w:val="71DEC7C2"/>
    <w:lvl w:ilvl="0" w:tplc="0760491E">
      <w:start w:val="1"/>
      <w:numFmt w:val="bullet"/>
      <w:lvlText w:val="►"/>
      <w:lvlJc w:val="left"/>
      <w:pPr>
        <w:ind w:left="632" w:hanging="360"/>
      </w:pPr>
      <w:rPr>
        <w:rFonts w:ascii="Century Gothic" w:hAnsi="Century Gothic" w:hint="default"/>
        <w:color w:val="002060"/>
      </w:rPr>
    </w:lvl>
    <w:lvl w:ilvl="1" w:tplc="DA966B7C">
      <w:numFmt w:val="bullet"/>
      <w:lvlText w:val="-"/>
      <w:lvlJc w:val="left"/>
      <w:pPr>
        <w:ind w:left="1352" w:hanging="360"/>
      </w:pPr>
      <w:rPr>
        <w:rFonts w:ascii="Selawik" w:eastAsia="Calibri" w:hAnsi="Selawik" w:cs="Times New Roman" w:hint="default"/>
      </w:rPr>
    </w:lvl>
    <w:lvl w:ilvl="2" w:tplc="040C0005" w:tentative="1">
      <w:start w:val="1"/>
      <w:numFmt w:val="bullet"/>
      <w:lvlText w:val=""/>
      <w:lvlJc w:val="left"/>
      <w:pPr>
        <w:ind w:left="2072" w:hanging="360"/>
      </w:pPr>
      <w:rPr>
        <w:rFonts w:ascii="Wingdings" w:hAnsi="Wingdings" w:hint="default"/>
      </w:rPr>
    </w:lvl>
    <w:lvl w:ilvl="3" w:tplc="040C0001" w:tentative="1">
      <w:start w:val="1"/>
      <w:numFmt w:val="bullet"/>
      <w:lvlText w:val=""/>
      <w:lvlJc w:val="left"/>
      <w:pPr>
        <w:ind w:left="2792" w:hanging="360"/>
      </w:pPr>
      <w:rPr>
        <w:rFonts w:ascii="Symbol" w:hAnsi="Symbol" w:hint="default"/>
      </w:rPr>
    </w:lvl>
    <w:lvl w:ilvl="4" w:tplc="040C0003" w:tentative="1">
      <w:start w:val="1"/>
      <w:numFmt w:val="bullet"/>
      <w:lvlText w:val="o"/>
      <w:lvlJc w:val="left"/>
      <w:pPr>
        <w:ind w:left="3512" w:hanging="360"/>
      </w:pPr>
      <w:rPr>
        <w:rFonts w:ascii="Courier New" w:hAnsi="Courier New" w:cs="Courier New" w:hint="default"/>
      </w:rPr>
    </w:lvl>
    <w:lvl w:ilvl="5" w:tplc="040C0005" w:tentative="1">
      <w:start w:val="1"/>
      <w:numFmt w:val="bullet"/>
      <w:lvlText w:val=""/>
      <w:lvlJc w:val="left"/>
      <w:pPr>
        <w:ind w:left="4232" w:hanging="360"/>
      </w:pPr>
      <w:rPr>
        <w:rFonts w:ascii="Wingdings" w:hAnsi="Wingdings" w:hint="default"/>
      </w:rPr>
    </w:lvl>
    <w:lvl w:ilvl="6" w:tplc="040C0001" w:tentative="1">
      <w:start w:val="1"/>
      <w:numFmt w:val="bullet"/>
      <w:lvlText w:val=""/>
      <w:lvlJc w:val="left"/>
      <w:pPr>
        <w:ind w:left="4952" w:hanging="360"/>
      </w:pPr>
      <w:rPr>
        <w:rFonts w:ascii="Symbol" w:hAnsi="Symbol" w:hint="default"/>
      </w:rPr>
    </w:lvl>
    <w:lvl w:ilvl="7" w:tplc="040C0003" w:tentative="1">
      <w:start w:val="1"/>
      <w:numFmt w:val="bullet"/>
      <w:lvlText w:val="o"/>
      <w:lvlJc w:val="left"/>
      <w:pPr>
        <w:ind w:left="5672" w:hanging="360"/>
      </w:pPr>
      <w:rPr>
        <w:rFonts w:ascii="Courier New" w:hAnsi="Courier New" w:cs="Courier New" w:hint="default"/>
      </w:rPr>
    </w:lvl>
    <w:lvl w:ilvl="8" w:tplc="040C0005" w:tentative="1">
      <w:start w:val="1"/>
      <w:numFmt w:val="bullet"/>
      <w:lvlText w:val=""/>
      <w:lvlJc w:val="left"/>
      <w:pPr>
        <w:ind w:left="6392" w:hanging="360"/>
      </w:pPr>
      <w:rPr>
        <w:rFonts w:ascii="Wingdings" w:hAnsi="Wingdings" w:hint="default"/>
      </w:rPr>
    </w:lvl>
  </w:abstractNum>
  <w:abstractNum w:abstractNumId="25" w15:restartNumberingAfterBreak="0">
    <w:nsid w:val="59962A0E"/>
    <w:multiLevelType w:val="hybridMultilevel"/>
    <w:tmpl w:val="F2DA28DE"/>
    <w:lvl w:ilvl="0" w:tplc="A990A59C">
      <w:start w:val="1"/>
      <w:numFmt w:val="bullet"/>
      <w:lvlText w:val="&gt;"/>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3F20BF"/>
    <w:multiLevelType w:val="hybridMultilevel"/>
    <w:tmpl w:val="D9AAD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6626754"/>
    <w:multiLevelType w:val="hybridMultilevel"/>
    <w:tmpl w:val="9C2A6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FB472F8"/>
    <w:multiLevelType w:val="hybridMultilevel"/>
    <w:tmpl w:val="BECC413E"/>
    <w:lvl w:ilvl="0" w:tplc="0760491E">
      <w:start w:val="1"/>
      <w:numFmt w:val="bullet"/>
      <w:lvlText w:val="►"/>
      <w:lvlJc w:val="left"/>
      <w:pPr>
        <w:ind w:left="720" w:hanging="360"/>
      </w:pPr>
      <w:rPr>
        <w:rFonts w:ascii="Century Gothic" w:hAnsi="Century Gothic"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30299480">
    <w:abstractNumId w:val="20"/>
  </w:num>
  <w:num w:numId="2" w16cid:durableId="1326199687">
    <w:abstractNumId w:val="11"/>
  </w:num>
  <w:num w:numId="3" w16cid:durableId="1880359275">
    <w:abstractNumId w:val="5"/>
  </w:num>
  <w:num w:numId="4" w16cid:durableId="1225070101">
    <w:abstractNumId w:val="23"/>
    <w:lvlOverride w:ilvl="0">
      <w:startOverride w:val="1"/>
    </w:lvlOverride>
  </w:num>
  <w:num w:numId="5" w16cid:durableId="81731360">
    <w:abstractNumId w:val="27"/>
  </w:num>
  <w:num w:numId="6" w16cid:durableId="133836476">
    <w:abstractNumId w:val="16"/>
  </w:num>
  <w:num w:numId="7" w16cid:durableId="1913158410">
    <w:abstractNumId w:val="23"/>
    <w:lvlOverride w:ilvl="0">
      <w:startOverride w:val="1"/>
    </w:lvlOverride>
  </w:num>
  <w:num w:numId="8" w16cid:durableId="405880015">
    <w:abstractNumId w:val="23"/>
    <w:lvlOverride w:ilvl="0">
      <w:startOverride w:val="1"/>
    </w:lvlOverride>
  </w:num>
  <w:num w:numId="9" w16cid:durableId="1410271459">
    <w:abstractNumId w:val="24"/>
  </w:num>
  <w:num w:numId="10" w16cid:durableId="72898265">
    <w:abstractNumId w:val="23"/>
    <w:lvlOverride w:ilvl="0">
      <w:startOverride w:val="1"/>
    </w:lvlOverride>
  </w:num>
  <w:num w:numId="11" w16cid:durableId="493842995">
    <w:abstractNumId w:val="6"/>
  </w:num>
  <w:num w:numId="12" w16cid:durableId="1123112947">
    <w:abstractNumId w:val="23"/>
    <w:lvlOverride w:ilvl="0">
      <w:startOverride w:val="1"/>
    </w:lvlOverride>
  </w:num>
  <w:num w:numId="13" w16cid:durableId="941184834">
    <w:abstractNumId w:val="23"/>
  </w:num>
  <w:num w:numId="14" w16cid:durableId="416678671">
    <w:abstractNumId w:val="23"/>
    <w:lvlOverride w:ilvl="0">
      <w:startOverride w:val="1"/>
    </w:lvlOverride>
  </w:num>
  <w:num w:numId="15" w16cid:durableId="812022609">
    <w:abstractNumId w:val="25"/>
  </w:num>
  <w:num w:numId="16" w16cid:durableId="1899824835">
    <w:abstractNumId w:val="17"/>
  </w:num>
  <w:num w:numId="17" w16cid:durableId="105008845">
    <w:abstractNumId w:val="23"/>
  </w:num>
  <w:num w:numId="18" w16cid:durableId="424307010">
    <w:abstractNumId w:val="23"/>
    <w:lvlOverride w:ilvl="0">
      <w:startOverride w:val="1"/>
    </w:lvlOverride>
  </w:num>
  <w:num w:numId="19" w16cid:durableId="1081948577">
    <w:abstractNumId w:val="8"/>
  </w:num>
  <w:num w:numId="20" w16cid:durableId="2070687258">
    <w:abstractNumId w:val="3"/>
  </w:num>
  <w:num w:numId="21" w16cid:durableId="597638045">
    <w:abstractNumId w:val="2"/>
  </w:num>
  <w:num w:numId="22" w16cid:durableId="514072437">
    <w:abstractNumId w:val="1"/>
  </w:num>
  <w:num w:numId="23" w16cid:durableId="1610507325">
    <w:abstractNumId w:val="0"/>
  </w:num>
  <w:num w:numId="24" w16cid:durableId="1548057255">
    <w:abstractNumId w:val="28"/>
  </w:num>
  <w:num w:numId="25" w16cid:durableId="1215697874">
    <w:abstractNumId w:val="12"/>
  </w:num>
  <w:num w:numId="26" w16cid:durableId="1871725312">
    <w:abstractNumId w:val="9"/>
  </w:num>
  <w:num w:numId="27" w16cid:durableId="1121606325">
    <w:abstractNumId w:val="23"/>
    <w:lvlOverride w:ilvl="0">
      <w:startOverride w:val="1"/>
    </w:lvlOverride>
  </w:num>
  <w:num w:numId="28" w16cid:durableId="640235728">
    <w:abstractNumId w:val="26"/>
  </w:num>
  <w:num w:numId="29" w16cid:durableId="279341289">
    <w:abstractNumId w:val="22"/>
  </w:num>
  <w:num w:numId="30" w16cid:durableId="381439452">
    <w:abstractNumId w:val="21"/>
  </w:num>
  <w:num w:numId="31" w16cid:durableId="1182738559">
    <w:abstractNumId w:val="23"/>
    <w:lvlOverride w:ilvl="0">
      <w:startOverride w:val="1"/>
    </w:lvlOverride>
  </w:num>
  <w:num w:numId="32" w16cid:durableId="1315993404">
    <w:abstractNumId w:val="18"/>
  </w:num>
  <w:num w:numId="33" w16cid:durableId="1836262788">
    <w:abstractNumId w:val="14"/>
  </w:num>
  <w:num w:numId="34" w16cid:durableId="675612913">
    <w:abstractNumId w:val="13"/>
  </w:num>
  <w:num w:numId="35" w16cid:durableId="415857335">
    <w:abstractNumId w:val="10"/>
  </w:num>
  <w:num w:numId="36" w16cid:durableId="1145583608">
    <w:abstractNumId w:val="15"/>
  </w:num>
  <w:num w:numId="37" w16cid:durableId="1594171517">
    <w:abstractNumId w:val="19"/>
  </w:num>
  <w:num w:numId="38" w16cid:durableId="1000428251">
    <w:abstractNumId w:val="4"/>
  </w:num>
  <w:num w:numId="39" w16cid:durableId="1063141802">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12289">
      <o:colormru v:ext="edit" colors="#bcbcbc,#94363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0CF"/>
    <w:rsid w:val="000003C8"/>
    <w:rsid w:val="00001849"/>
    <w:rsid w:val="000027C7"/>
    <w:rsid w:val="00003095"/>
    <w:rsid w:val="00003176"/>
    <w:rsid w:val="00004D53"/>
    <w:rsid w:val="000056D0"/>
    <w:rsid w:val="000065E0"/>
    <w:rsid w:val="00006B1B"/>
    <w:rsid w:val="00006D26"/>
    <w:rsid w:val="00007855"/>
    <w:rsid w:val="00007D85"/>
    <w:rsid w:val="000103E9"/>
    <w:rsid w:val="00010EDC"/>
    <w:rsid w:val="000120D7"/>
    <w:rsid w:val="00013842"/>
    <w:rsid w:val="00013AC9"/>
    <w:rsid w:val="00016739"/>
    <w:rsid w:val="00016762"/>
    <w:rsid w:val="0001700E"/>
    <w:rsid w:val="000175FF"/>
    <w:rsid w:val="0002120A"/>
    <w:rsid w:val="00022503"/>
    <w:rsid w:val="00022CCC"/>
    <w:rsid w:val="00024FAF"/>
    <w:rsid w:val="000254B2"/>
    <w:rsid w:val="0002621F"/>
    <w:rsid w:val="0002636F"/>
    <w:rsid w:val="000264C3"/>
    <w:rsid w:val="00026CF4"/>
    <w:rsid w:val="000271F5"/>
    <w:rsid w:val="000277F9"/>
    <w:rsid w:val="000279FF"/>
    <w:rsid w:val="00027CB4"/>
    <w:rsid w:val="00031186"/>
    <w:rsid w:val="00031F6B"/>
    <w:rsid w:val="0003270F"/>
    <w:rsid w:val="00034F80"/>
    <w:rsid w:val="00036071"/>
    <w:rsid w:val="000373FB"/>
    <w:rsid w:val="0004117E"/>
    <w:rsid w:val="00042E49"/>
    <w:rsid w:val="00043F98"/>
    <w:rsid w:val="000468F5"/>
    <w:rsid w:val="00047802"/>
    <w:rsid w:val="000511F1"/>
    <w:rsid w:val="00051FCF"/>
    <w:rsid w:val="00052043"/>
    <w:rsid w:val="000539CC"/>
    <w:rsid w:val="00055FBE"/>
    <w:rsid w:val="00056082"/>
    <w:rsid w:val="00056E1A"/>
    <w:rsid w:val="00061152"/>
    <w:rsid w:val="000624F2"/>
    <w:rsid w:val="0006301C"/>
    <w:rsid w:val="00063510"/>
    <w:rsid w:val="00065247"/>
    <w:rsid w:val="000658D9"/>
    <w:rsid w:val="00066C31"/>
    <w:rsid w:val="00066DE4"/>
    <w:rsid w:val="00070218"/>
    <w:rsid w:val="00070DD2"/>
    <w:rsid w:val="00071779"/>
    <w:rsid w:val="000721DC"/>
    <w:rsid w:val="00072CAE"/>
    <w:rsid w:val="00073084"/>
    <w:rsid w:val="00074A13"/>
    <w:rsid w:val="00074FFF"/>
    <w:rsid w:val="00075FE9"/>
    <w:rsid w:val="000800B3"/>
    <w:rsid w:val="000801F9"/>
    <w:rsid w:val="00080BFA"/>
    <w:rsid w:val="0008382D"/>
    <w:rsid w:val="00083BB9"/>
    <w:rsid w:val="00084FB5"/>
    <w:rsid w:val="00086038"/>
    <w:rsid w:val="0008613E"/>
    <w:rsid w:val="00090DD5"/>
    <w:rsid w:val="000919D6"/>
    <w:rsid w:val="00093454"/>
    <w:rsid w:val="000936DA"/>
    <w:rsid w:val="00094035"/>
    <w:rsid w:val="000948ED"/>
    <w:rsid w:val="00094921"/>
    <w:rsid w:val="00094A51"/>
    <w:rsid w:val="000950FC"/>
    <w:rsid w:val="00096A03"/>
    <w:rsid w:val="000977B3"/>
    <w:rsid w:val="00097FEC"/>
    <w:rsid w:val="000A11D3"/>
    <w:rsid w:val="000A1445"/>
    <w:rsid w:val="000A145F"/>
    <w:rsid w:val="000A23C8"/>
    <w:rsid w:val="000A37D3"/>
    <w:rsid w:val="000A3C6F"/>
    <w:rsid w:val="000A462E"/>
    <w:rsid w:val="000A56CB"/>
    <w:rsid w:val="000A5B33"/>
    <w:rsid w:val="000A5F83"/>
    <w:rsid w:val="000A67C7"/>
    <w:rsid w:val="000A71AB"/>
    <w:rsid w:val="000A720D"/>
    <w:rsid w:val="000A7242"/>
    <w:rsid w:val="000B03BD"/>
    <w:rsid w:val="000B207A"/>
    <w:rsid w:val="000B232A"/>
    <w:rsid w:val="000B3D70"/>
    <w:rsid w:val="000B5353"/>
    <w:rsid w:val="000B5379"/>
    <w:rsid w:val="000B58F5"/>
    <w:rsid w:val="000B6782"/>
    <w:rsid w:val="000B6A35"/>
    <w:rsid w:val="000B7289"/>
    <w:rsid w:val="000B7BB9"/>
    <w:rsid w:val="000C0F2E"/>
    <w:rsid w:val="000C333E"/>
    <w:rsid w:val="000D0098"/>
    <w:rsid w:val="000D04B3"/>
    <w:rsid w:val="000D1B67"/>
    <w:rsid w:val="000D21E9"/>
    <w:rsid w:val="000D3244"/>
    <w:rsid w:val="000D3EE0"/>
    <w:rsid w:val="000D3F16"/>
    <w:rsid w:val="000D4379"/>
    <w:rsid w:val="000D4FF8"/>
    <w:rsid w:val="000D600E"/>
    <w:rsid w:val="000E073F"/>
    <w:rsid w:val="000E18E9"/>
    <w:rsid w:val="000E3321"/>
    <w:rsid w:val="000E49E6"/>
    <w:rsid w:val="000E6AE8"/>
    <w:rsid w:val="000E7925"/>
    <w:rsid w:val="000E7B6E"/>
    <w:rsid w:val="000F220C"/>
    <w:rsid w:val="000F24B8"/>
    <w:rsid w:val="000F3444"/>
    <w:rsid w:val="000F380C"/>
    <w:rsid w:val="000F507D"/>
    <w:rsid w:val="000F5729"/>
    <w:rsid w:val="000F5737"/>
    <w:rsid w:val="000F596C"/>
    <w:rsid w:val="000F675A"/>
    <w:rsid w:val="000F6B50"/>
    <w:rsid w:val="000F6D27"/>
    <w:rsid w:val="0010189E"/>
    <w:rsid w:val="00102769"/>
    <w:rsid w:val="00105074"/>
    <w:rsid w:val="0010601A"/>
    <w:rsid w:val="0010647E"/>
    <w:rsid w:val="00106657"/>
    <w:rsid w:val="001070B2"/>
    <w:rsid w:val="00107692"/>
    <w:rsid w:val="00110EF6"/>
    <w:rsid w:val="00111FF2"/>
    <w:rsid w:val="001148AB"/>
    <w:rsid w:val="0011543B"/>
    <w:rsid w:val="00115D51"/>
    <w:rsid w:val="001170FF"/>
    <w:rsid w:val="0012058F"/>
    <w:rsid w:val="00120BAC"/>
    <w:rsid w:val="001210CD"/>
    <w:rsid w:val="00121EAD"/>
    <w:rsid w:val="001229E2"/>
    <w:rsid w:val="0012541F"/>
    <w:rsid w:val="0012628D"/>
    <w:rsid w:val="0012640A"/>
    <w:rsid w:val="00126B51"/>
    <w:rsid w:val="0013149D"/>
    <w:rsid w:val="00131F35"/>
    <w:rsid w:val="001327E7"/>
    <w:rsid w:val="001336B0"/>
    <w:rsid w:val="001336F9"/>
    <w:rsid w:val="00134FE2"/>
    <w:rsid w:val="001354F1"/>
    <w:rsid w:val="00135F2A"/>
    <w:rsid w:val="00136890"/>
    <w:rsid w:val="00136EBC"/>
    <w:rsid w:val="00137C4C"/>
    <w:rsid w:val="001405B4"/>
    <w:rsid w:val="001418F9"/>
    <w:rsid w:val="00143482"/>
    <w:rsid w:val="00143948"/>
    <w:rsid w:val="00143C2D"/>
    <w:rsid w:val="00143F92"/>
    <w:rsid w:val="0014538E"/>
    <w:rsid w:val="0014678C"/>
    <w:rsid w:val="0014797E"/>
    <w:rsid w:val="00152D8B"/>
    <w:rsid w:val="00155824"/>
    <w:rsid w:val="00155FDF"/>
    <w:rsid w:val="00156559"/>
    <w:rsid w:val="001565D2"/>
    <w:rsid w:val="0015677F"/>
    <w:rsid w:val="001575C4"/>
    <w:rsid w:val="001628A9"/>
    <w:rsid w:val="001648C6"/>
    <w:rsid w:val="00165857"/>
    <w:rsid w:val="00166D0D"/>
    <w:rsid w:val="001670CA"/>
    <w:rsid w:val="001701A7"/>
    <w:rsid w:val="00170DD8"/>
    <w:rsid w:val="00171408"/>
    <w:rsid w:val="0017175A"/>
    <w:rsid w:val="00171A9D"/>
    <w:rsid w:val="00171B75"/>
    <w:rsid w:val="00171DF6"/>
    <w:rsid w:val="00172DDF"/>
    <w:rsid w:val="00173C15"/>
    <w:rsid w:val="0017545A"/>
    <w:rsid w:val="00177292"/>
    <w:rsid w:val="001775F6"/>
    <w:rsid w:val="00181C43"/>
    <w:rsid w:val="00181EBF"/>
    <w:rsid w:val="001858E1"/>
    <w:rsid w:val="00185EA0"/>
    <w:rsid w:val="001860F8"/>
    <w:rsid w:val="00186163"/>
    <w:rsid w:val="0019116E"/>
    <w:rsid w:val="00191827"/>
    <w:rsid w:val="00194012"/>
    <w:rsid w:val="001944A1"/>
    <w:rsid w:val="00196D60"/>
    <w:rsid w:val="001A0739"/>
    <w:rsid w:val="001A08DE"/>
    <w:rsid w:val="001A0952"/>
    <w:rsid w:val="001A12B5"/>
    <w:rsid w:val="001A2238"/>
    <w:rsid w:val="001A2BA4"/>
    <w:rsid w:val="001A3DCD"/>
    <w:rsid w:val="001A6541"/>
    <w:rsid w:val="001A6D3C"/>
    <w:rsid w:val="001A7523"/>
    <w:rsid w:val="001A776E"/>
    <w:rsid w:val="001A78D4"/>
    <w:rsid w:val="001B28B2"/>
    <w:rsid w:val="001B2B03"/>
    <w:rsid w:val="001B40F2"/>
    <w:rsid w:val="001B48BF"/>
    <w:rsid w:val="001B5751"/>
    <w:rsid w:val="001B5CB2"/>
    <w:rsid w:val="001B6B27"/>
    <w:rsid w:val="001B7005"/>
    <w:rsid w:val="001C0EF0"/>
    <w:rsid w:val="001C36A2"/>
    <w:rsid w:val="001C56B2"/>
    <w:rsid w:val="001C68F3"/>
    <w:rsid w:val="001D32C1"/>
    <w:rsid w:val="001D3381"/>
    <w:rsid w:val="001D4F2B"/>
    <w:rsid w:val="001D5237"/>
    <w:rsid w:val="001D52B4"/>
    <w:rsid w:val="001D5470"/>
    <w:rsid w:val="001D548D"/>
    <w:rsid w:val="001D5E8A"/>
    <w:rsid w:val="001D6EC9"/>
    <w:rsid w:val="001D6FA7"/>
    <w:rsid w:val="001D7AAD"/>
    <w:rsid w:val="001E0460"/>
    <w:rsid w:val="001E07D4"/>
    <w:rsid w:val="001E2AB0"/>
    <w:rsid w:val="001E30FE"/>
    <w:rsid w:val="001E31D0"/>
    <w:rsid w:val="001E4B56"/>
    <w:rsid w:val="001E6E6E"/>
    <w:rsid w:val="001E7B30"/>
    <w:rsid w:val="001F0A24"/>
    <w:rsid w:val="001F0D63"/>
    <w:rsid w:val="001F0DEC"/>
    <w:rsid w:val="001F14E2"/>
    <w:rsid w:val="001F1C2A"/>
    <w:rsid w:val="001F1D2A"/>
    <w:rsid w:val="001F2B22"/>
    <w:rsid w:val="001F37CC"/>
    <w:rsid w:val="001F4300"/>
    <w:rsid w:val="001F50F8"/>
    <w:rsid w:val="001F527C"/>
    <w:rsid w:val="001F5485"/>
    <w:rsid w:val="001F63D9"/>
    <w:rsid w:val="001F6CEC"/>
    <w:rsid w:val="001F7547"/>
    <w:rsid w:val="00201084"/>
    <w:rsid w:val="00201129"/>
    <w:rsid w:val="00203D82"/>
    <w:rsid w:val="00205105"/>
    <w:rsid w:val="002112E4"/>
    <w:rsid w:val="00212E66"/>
    <w:rsid w:val="002142DB"/>
    <w:rsid w:val="00215276"/>
    <w:rsid w:val="002171E8"/>
    <w:rsid w:val="00217933"/>
    <w:rsid w:val="00220601"/>
    <w:rsid w:val="00220F6E"/>
    <w:rsid w:val="002268C9"/>
    <w:rsid w:val="0022721D"/>
    <w:rsid w:val="0022726B"/>
    <w:rsid w:val="002304D5"/>
    <w:rsid w:val="00230A9E"/>
    <w:rsid w:val="00230B50"/>
    <w:rsid w:val="0023199E"/>
    <w:rsid w:val="00231CC9"/>
    <w:rsid w:val="002320DD"/>
    <w:rsid w:val="002328BD"/>
    <w:rsid w:val="00232EC9"/>
    <w:rsid w:val="00232F3D"/>
    <w:rsid w:val="0023591C"/>
    <w:rsid w:val="002364E2"/>
    <w:rsid w:val="0023743D"/>
    <w:rsid w:val="00237A46"/>
    <w:rsid w:val="00237C9E"/>
    <w:rsid w:val="00240A89"/>
    <w:rsid w:val="00240B04"/>
    <w:rsid w:val="00243EC4"/>
    <w:rsid w:val="00245CE5"/>
    <w:rsid w:val="0025025C"/>
    <w:rsid w:val="00250E5E"/>
    <w:rsid w:val="00252176"/>
    <w:rsid w:val="00252ABA"/>
    <w:rsid w:val="00253393"/>
    <w:rsid w:val="00253473"/>
    <w:rsid w:val="002548C2"/>
    <w:rsid w:val="00255250"/>
    <w:rsid w:val="00255527"/>
    <w:rsid w:val="00255FBB"/>
    <w:rsid w:val="00257249"/>
    <w:rsid w:val="0026153E"/>
    <w:rsid w:val="002616D1"/>
    <w:rsid w:val="002618D7"/>
    <w:rsid w:val="002620CF"/>
    <w:rsid w:val="0026328B"/>
    <w:rsid w:val="002640F2"/>
    <w:rsid w:val="002643AE"/>
    <w:rsid w:val="002673F6"/>
    <w:rsid w:val="002679CD"/>
    <w:rsid w:val="00271E45"/>
    <w:rsid w:val="00271F4F"/>
    <w:rsid w:val="0027375B"/>
    <w:rsid w:val="0027407E"/>
    <w:rsid w:val="00274106"/>
    <w:rsid w:val="00275090"/>
    <w:rsid w:val="002754F4"/>
    <w:rsid w:val="00275F57"/>
    <w:rsid w:val="0027646D"/>
    <w:rsid w:val="0027687F"/>
    <w:rsid w:val="00276A87"/>
    <w:rsid w:val="00276F2D"/>
    <w:rsid w:val="00277130"/>
    <w:rsid w:val="00280014"/>
    <w:rsid w:val="0028129C"/>
    <w:rsid w:val="00282CAB"/>
    <w:rsid w:val="00283A30"/>
    <w:rsid w:val="0028437F"/>
    <w:rsid w:val="002845C6"/>
    <w:rsid w:val="002849E5"/>
    <w:rsid w:val="002859D1"/>
    <w:rsid w:val="00286326"/>
    <w:rsid w:val="00286DE4"/>
    <w:rsid w:val="002908D0"/>
    <w:rsid w:val="00290B46"/>
    <w:rsid w:val="00291F90"/>
    <w:rsid w:val="002924D2"/>
    <w:rsid w:val="002930AD"/>
    <w:rsid w:val="00293AAC"/>
    <w:rsid w:val="00294871"/>
    <w:rsid w:val="002948DB"/>
    <w:rsid w:val="002964C6"/>
    <w:rsid w:val="002A05E5"/>
    <w:rsid w:val="002A1874"/>
    <w:rsid w:val="002A1BEF"/>
    <w:rsid w:val="002A1DE3"/>
    <w:rsid w:val="002A37C0"/>
    <w:rsid w:val="002A4588"/>
    <w:rsid w:val="002A525B"/>
    <w:rsid w:val="002A79BA"/>
    <w:rsid w:val="002A7FD8"/>
    <w:rsid w:val="002B0A7B"/>
    <w:rsid w:val="002B0E51"/>
    <w:rsid w:val="002B1C80"/>
    <w:rsid w:val="002B3B1B"/>
    <w:rsid w:val="002B41FF"/>
    <w:rsid w:val="002B4CEA"/>
    <w:rsid w:val="002B673B"/>
    <w:rsid w:val="002B699B"/>
    <w:rsid w:val="002B6BD2"/>
    <w:rsid w:val="002B72D7"/>
    <w:rsid w:val="002B7DE2"/>
    <w:rsid w:val="002C1CEE"/>
    <w:rsid w:val="002C4215"/>
    <w:rsid w:val="002C4BF4"/>
    <w:rsid w:val="002C6B15"/>
    <w:rsid w:val="002D023C"/>
    <w:rsid w:val="002D053D"/>
    <w:rsid w:val="002D1E21"/>
    <w:rsid w:val="002D2060"/>
    <w:rsid w:val="002D30FE"/>
    <w:rsid w:val="002D3EA6"/>
    <w:rsid w:val="002D5718"/>
    <w:rsid w:val="002D6C61"/>
    <w:rsid w:val="002D7B00"/>
    <w:rsid w:val="002E0B29"/>
    <w:rsid w:val="002E18DF"/>
    <w:rsid w:val="002E2343"/>
    <w:rsid w:val="002E2B23"/>
    <w:rsid w:val="002E4B09"/>
    <w:rsid w:val="002E60F3"/>
    <w:rsid w:val="002E6270"/>
    <w:rsid w:val="002F0EEE"/>
    <w:rsid w:val="002F1134"/>
    <w:rsid w:val="002F17FE"/>
    <w:rsid w:val="002F3918"/>
    <w:rsid w:val="002F3B6D"/>
    <w:rsid w:val="002F4CD6"/>
    <w:rsid w:val="002F526B"/>
    <w:rsid w:val="002F5877"/>
    <w:rsid w:val="002F615B"/>
    <w:rsid w:val="002F7908"/>
    <w:rsid w:val="002F7BF3"/>
    <w:rsid w:val="003006D0"/>
    <w:rsid w:val="003012E2"/>
    <w:rsid w:val="003024DE"/>
    <w:rsid w:val="0030374C"/>
    <w:rsid w:val="00303797"/>
    <w:rsid w:val="003045BD"/>
    <w:rsid w:val="003066C3"/>
    <w:rsid w:val="00306F9D"/>
    <w:rsid w:val="0031018B"/>
    <w:rsid w:val="00310F9C"/>
    <w:rsid w:val="003114EE"/>
    <w:rsid w:val="00312D5A"/>
    <w:rsid w:val="003150EC"/>
    <w:rsid w:val="0031669E"/>
    <w:rsid w:val="003200B8"/>
    <w:rsid w:val="00322C39"/>
    <w:rsid w:val="00322FBE"/>
    <w:rsid w:val="00323B38"/>
    <w:rsid w:val="00323E28"/>
    <w:rsid w:val="0032428A"/>
    <w:rsid w:val="003249CA"/>
    <w:rsid w:val="00324BE4"/>
    <w:rsid w:val="003250A3"/>
    <w:rsid w:val="003253B8"/>
    <w:rsid w:val="00326B32"/>
    <w:rsid w:val="00327C33"/>
    <w:rsid w:val="00327E64"/>
    <w:rsid w:val="00330CEC"/>
    <w:rsid w:val="00331471"/>
    <w:rsid w:val="00332C99"/>
    <w:rsid w:val="00332CDC"/>
    <w:rsid w:val="00332DA4"/>
    <w:rsid w:val="00332E39"/>
    <w:rsid w:val="003336EE"/>
    <w:rsid w:val="00333AE2"/>
    <w:rsid w:val="00336652"/>
    <w:rsid w:val="00340088"/>
    <w:rsid w:val="00343711"/>
    <w:rsid w:val="00344376"/>
    <w:rsid w:val="003443B4"/>
    <w:rsid w:val="00344BB1"/>
    <w:rsid w:val="0034559B"/>
    <w:rsid w:val="00346371"/>
    <w:rsid w:val="0034683D"/>
    <w:rsid w:val="00346A34"/>
    <w:rsid w:val="00346D79"/>
    <w:rsid w:val="00347355"/>
    <w:rsid w:val="00347BA8"/>
    <w:rsid w:val="00347C7F"/>
    <w:rsid w:val="00353240"/>
    <w:rsid w:val="00353833"/>
    <w:rsid w:val="003544F5"/>
    <w:rsid w:val="0035477F"/>
    <w:rsid w:val="00355557"/>
    <w:rsid w:val="00356942"/>
    <w:rsid w:val="003577D8"/>
    <w:rsid w:val="00357DC5"/>
    <w:rsid w:val="00360371"/>
    <w:rsid w:val="0036094D"/>
    <w:rsid w:val="003617EE"/>
    <w:rsid w:val="003621D9"/>
    <w:rsid w:val="0036489B"/>
    <w:rsid w:val="00364EF3"/>
    <w:rsid w:val="00365384"/>
    <w:rsid w:val="00365643"/>
    <w:rsid w:val="0036660B"/>
    <w:rsid w:val="00367EB5"/>
    <w:rsid w:val="00370172"/>
    <w:rsid w:val="003716CD"/>
    <w:rsid w:val="00371A89"/>
    <w:rsid w:val="00371E53"/>
    <w:rsid w:val="003726D6"/>
    <w:rsid w:val="00372D3C"/>
    <w:rsid w:val="00373341"/>
    <w:rsid w:val="00374211"/>
    <w:rsid w:val="003745D5"/>
    <w:rsid w:val="003750F2"/>
    <w:rsid w:val="0037594E"/>
    <w:rsid w:val="00377398"/>
    <w:rsid w:val="00377C01"/>
    <w:rsid w:val="00381D1E"/>
    <w:rsid w:val="0038293C"/>
    <w:rsid w:val="0038336C"/>
    <w:rsid w:val="00383CB5"/>
    <w:rsid w:val="00384A74"/>
    <w:rsid w:val="00385536"/>
    <w:rsid w:val="003855CA"/>
    <w:rsid w:val="00386B71"/>
    <w:rsid w:val="003910FD"/>
    <w:rsid w:val="00392212"/>
    <w:rsid w:val="00395B70"/>
    <w:rsid w:val="00395CF6"/>
    <w:rsid w:val="00396C02"/>
    <w:rsid w:val="00397631"/>
    <w:rsid w:val="003A0CB6"/>
    <w:rsid w:val="003A2B09"/>
    <w:rsid w:val="003A3D7B"/>
    <w:rsid w:val="003A3E5E"/>
    <w:rsid w:val="003A55B3"/>
    <w:rsid w:val="003A5AEA"/>
    <w:rsid w:val="003A671A"/>
    <w:rsid w:val="003A6BE0"/>
    <w:rsid w:val="003B1966"/>
    <w:rsid w:val="003B294A"/>
    <w:rsid w:val="003B4011"/>
    <w:rsid w:val="003B4CAD"/>
    <w:rsid w:val="003B7199"/>
    <w:rsid w:val="003B79CE"/>
    <w:rsid w:val="003C0279"/>
    <w:rsid w:val="003C2760"/>
    <w:rsid w:val="003C38FE"/>
    <w:rsid w:val="003C3BA5"/>
    <w:rsid w:val="003C50B7"/>
    <w:rsid w:val="003C6DD7"/>
    <w:rsid w:val="003C75EC"/>
    <w:rsid w:val="003C7DDA"/>
    <w:rsid w:val="003C7E37"/>
    <w:rsid w:val="003D123A"/>
    <w:rsid w:val="003D3D04"/>
    <w:rsid w:val="003D58AF"/>
    <w:rsid w:val="003D6016"/>
    <w:rsid w:val="003E0337"/>
    <w:rsid w:val="003E113C"/>
    <w:rsid w:val="003E1CA6"/>
    <w:rsid w:val="003E235C"/>
    <w:rsid w:val="003E286C"/>
    <w:rsid w:val="003E37DD"/>
    <w:rsid w:val="003E4912"/>
    <w:rsid w:val="003E5420"/>
    <w:rsid w:val="003E6F84"/>
    <w:rsid w:val="003F103C"/>
    <w:rsid w:val="003F3183"/>
    <w:rsid w:val="003F3C9C"/>
    <w:rsid w:val="003F6B41"/>
    <w:rsid w:val="003F7B88"/>
    <w:rsid w:val="003F7E6B"/>
    <w:rsid w:val="00400BE6"/>
    <w:rsid w:val="0040139F"/>
    <w:rsid w:val="004014FC"/>
    <w:rsid w:val="0040227F"/>
    <w:rsid w:val="004044D9"/>
    <w:rsid w:val="004050E3"/>
    <w:rsid w:val="0040669C"/>
    <w:rsid w:val="00407516"/>
    <w:rsid w:val="004078DB"/>
    <w:rsid w:val="004115A7"/>
    <w:rsid w:val="00412BF2"/>
    <w:rsid w:val="004133A6"/>
    <w:rsid w:val="00414A4D"/>
    <w:rsid w:val="00414E9E"/>
    <w:rsid w:val="00415930"/>
    <w:rsid w:val="00416703"/>
    <w:rsid w:val="00421031"/>
    <w:rsid w:val="00423522"/>
    <w:rsid w:val="00426C28"/>
    <w:rsid w:val="004358EB"/>
    <w:rsid w:val="00435932"/>
    <w:rsid w:val="00437271"/>
    <w:rsid w:val="0044015E"/>
    <w:rsid w:val="00440845"/>
    <w:rsid w:val="00440B13"/>
    <w:rsid w:val="00441617"/>
    <w:rsid w:val="00441D05"/>
    <w:rsid w:val="00441D23"/>
    <w:rsid w:val="00442485"/>
    <w:rsid w:val="004427C2"/>
    <w:rsid w:val="00443328"/>
    <w:rsid w:val="00443AD9"/>
    <w:rsid w:val="00444DB8"/>
    <w:rsid w:val="00444DF3"/>
    <w:rsid w:val="0044698C"/>
    <w:rsid w:val="00446DB4"/>
    <w:rsid w:val="00447072"/>
    <w:rsid w:val="00447812"/>
    <w:rsid w:val="00447891"/>
    <w:rsid w:val="00447CE6"/>
    <w:rsid w:val="00451462"/>
    <w:rsid w:val="00452646"/>
    <w:rsid w:val="0045264B"/>
    <w:rsid w:val="0045370A"/>
    <w:rsid w:val="00454AFF"/>
    <w:rsid w:val="00455BA2"/>
    <w:rsid w:val="00455FB7"/>
    <w:rsid w:val="00456BB8"/>
    <w:rsid w:val="0045732E"/>
    <w:rsid w:val="00460015"/>
    <w:rsid w:val="00460738"/>
    <w:rsid w:val="004608CE"/>
    <w:rsid w:val="00461EBD"/>
    <w:rsid w:val="00462DB3"/>
    <w:rsid w:val="004638DC"/>
    <w:rsid w:val="00464150"/>
    <w:rsid w:val="004644CE"/>
    <w:rsid w:val="00466B16"/>
    <w:rsid w:val="0046779D"/>
    <w:rsid w:val="004706F2"/>
    <w:rsid w:val="0047406F"/>
    <w:rsid w:val="00474908"/>
    <w:rsid w:val="004753D8"/>
    <w:rsid w:val="00475DF2"/>
    <w:rsid w:val="004773BB"/>
    <w:rsid w:val="00477A6C"/>
    <w:rsid w:val="00480AFC"/>
    <w:rsid w:val="00481428"/>
    <w:rsid w:val="00481F86"/>
    <w:rsid w:val="00482AF1"/>
    <w:rsid w:val="004835DB"/>
    <w:rsid w:val="00483FF8"/>
    <w:rsid w:val="004849D0"/>
    <w:rsid w:val="0048642B"/>
    <w:rsid w:val="004867B0"/>
    <w:rsid w:val="00486A34"/>
    <w:rsid w:val="00487488"/>
    <w:rsid w:val="0049035F"/>
    <w:rsid w:val="00490430"/>
    <w:rsid w:val="00491386"/>
    <w:rsid w:val="004915D7"/>
    <w:rsid w:val="004A05A5"/>
    <w:rsid w:val="004A0690"/>
    <w:rsid w:val="004A081D"/>
    <w:rsid w:val="004A1A8B"/>
    <w:rsid w:val="004A1D02"/>
    <w:rsid w:val="004A27E9"/>
    <w:rsid w:val="004A2D01"/>
    <w:rsid w:val="004A2DA0"/>
    <w:rsid w:val="004A3918"/>
    <w:rsid w:val="004A46D4"/>
    <w:rsid w:val="004A6629"/>
    <w:rsid w:val="004A6A7E"/>
    <w:rsid w:val="004B01E7"/>
    <w:rsid w:val="004B1B35"/>
    <w:rsid w:val="004B1FF2"/>
    <w:rsid w:val="004B4421"/>
    <w:rsid w:val="004B4918"/>
    <w:rsid w:val="004B5D6C"/>
    <w:rsid w:val="004B6A4B"/>
    <w:rsid w:val="004B6B2E"/>
    <w:rsid w:val="004C03BA"/>
    <w:rsid w:val="004C04D8"/>
    <w:rsid w:val="004C097C"/>
    <w:rsid w:val="004C108D"/>
    <w:rsid w:val="004C14E1"/>
    <w:rsid w:val="004C1F25"/>
    <w:rsid w:val="004C2E9C"/>
    <w:rsid w:val="004C2F4E"/>
    <w:rsid w:val="004C3C29"/>
    <w:rsid w:val="004C48F7"/>
    <w:rsid w:val="004C5B96"/>
    <w:rsid w:val="004C690A"/>
    <w:rsid w:val="004D1B79"/>
    <w:rsid w:val="004D2D0A"/>
    <w:rsid w:val="004D4902"/>
    <w:rsid w:val="004D5499"/>
    <w:rsid w:val="004D54D2"/>
    <w:rsid w:val="004D6812"/>
    <w:rsid w:val="004E1CBF"/>
    <w:rsid w:val="004E381C"/>
    <w:rsid w:val="004E3C18"/>
    <w:rsid w:val="004E4B3C"/>
    <w:rsid w:val="004E4B89"/>
    <w:rsid w:val="004E58C5"/>
    <w:rsid w:val="004E68CF"/>
    <w:rsid w:val="004E77AA"/>
    <w:rsid w:val="004E7E5F"/>
    <w:rsid w:val="004F1F31"/>
    <w:rsid w:val="004F52D1"/>
    <w:rsid w:val="004F6E8C"/>
    <w:rsid w:val="004F7B67"/>
    <w:rsid w:val="0050108F"/>
    <w:rsid w:val="00501708"/>
    <w:rsid w:val="005023FB"/>
    <w:rsid w:val="0050247D"/>
    <w:rsid w:val="005027CA"/>
    <w:rsid w:val="00502F39"/>
    <w:rsid w:val="00503C3A"/>
    <w:rsid w:val="00503E6B"/>
    <w:rsid w:val="00505566"/>
    <w:rsid w:val="005079CD"/>
    <w:rsid w:val="00510884"/>
    <w:rsid w:val="0051250C"/>
    <w:rsid w:val="005134C2"/>
    <w:rsid w:val="00513A79"/>
    <w:rsid w:val="00515400"/>
    <w:rsid w:val="0051563F"/>
    <w:rsid w:val="00515E63"/>
    <w:rsid w:val="00516D69"/>
    <w:rsid w:val="00517991"/>
    <w:rsid w:val="0052049E"/>
    <w:rsid w:val="005209EE"/>
    <w:rsid w:val="00520CFA"/>
    <w:rsid w:val="00521C7A"/>
    <w:rsid w:val="0052210F"/>
    <w:rsid w:val="005234C3"/>
    <w:rsid w:val="00523FC5"/>
    <w:rsid w:val="0052491B"/>
    <w:rsid w:val="0052517C"/>
    <w:rsid w:val="00526C6C"/>
    <w:rsid w:val="00526F44"/>
    <w:rsid w:val="00527016"/>
    <w:rsid w:val="00527654"/>
    <w:rsid w:val="0052797B"/>
    <w:rsid w:val="005304DD"/>
    <w:rsid w:val="00530DCB"/>
    <w:rsid w:val="00531DB3"/>
    <w:rsid w:val="00531DB5"/>
    <w:rsid w:val="005324CE"/>
    <w:rsid w:val="0053316F"/>
    <w:rsid w:val="00533400"/>
    <w:rsid w:val="00535B40"/>
    <w:rsid w:val="0053616E"/>
    <w:rsid w:val="00536737"/>
    <w:rsid w:val="00537711"/>
    <w:rsid w:val="00540133"/>
    <w:rsid w:val="005412AE"/>
    <w:rsid w:val="00541EE3"/>
    <w:rsid w:val="00542393"/>
    <w:rsid w:val="0054457E"/>
    <w:rsid w:val="005453A2"/>
    <w:rsid w:val="0054575E"/>
    <w:rsid w:val="00546D41"/>
    <w:rsid w:val="00547EFC"/>
    <w:rsid w:val="00550B5F"/>
    <w:rsid w:val="0055394D"/>
    <w:rsid w:val="005541D6"/>
    <w:rsid w:val="00554E8D"/>
    <w:rsid w:val="0055536F"/>
    <w:rsid w:val="0056031B"/>
    <w:rsid w:val="00561396"/>
    <w:rsid w:val="005613C4"/>
    <w:rsid w:val="00561873"/>
    <w:rsid w:val="00561A1E"/>
    <w:rsid w:val="00561FAC"/>
    <w:rsid w:val="005639F4"/>
    <w:rsid w:val="005644D9"/>
    <w:rsid w:val="005674E2"/>
    <w:rsid w:val="0056762E"/>
    <w:rsid w:val="00570679"/>
    <w:rsid w:val="005707E7"/>
    <w:rsid w:val="0057205F"/>
    <w:rsid w:val="00575691"/>
    <w:rsid w:val="00576BCD"/>
    <w:rsid w:val="00576D9A"/>
    <w:rsid w:val="005775C0"/>
    <w:rsid w:val="00583797"/>
    <w:rsid w:val="00583E31"/>
    <w:rsid w:val="0058457A"/>
    <w:rsid w:val="005856C1"/>
    <w:rsid w:val="00586997"/>
    <w:rsid w:val="00590E39"/>
    <w:rsid w:val="0059170A"/>
    <w:rsid w:val="00591BE7"/>
    <w:rsid w:val="00591C79"/>
    <w:rsid w:val="00593B17"/>
    <w:rsid w:val="00594BC4"/>
    <w:rsid w:val="00595068"/>
    <w:rsid w:val="0059561D"/>
    <w:rsid w:val="00596217"/>
    <w:rsid w:val="00596E24"/>
    <w:rsid w:val="005971CD"/>
    <w:rsid w:val="005A0114"/>
    <w:rsid w:val="005A143C"/>
    <w:rsid w:val="005A1E7A"/>
    <w:rsid w:val="005A1EB9"/>
    <w:rsid w:val="005A2949"/>
    <w:rsid w:val="005A39B5"/>
    <w:rsid w:val="005A39DE"/>
    <w:rsid w:val="005A5422"/>
    <w:rsid w:val="005A571A"/>
    <w:rsid w:val="005B1437"/>
    <w:rsid w:val="005B2235"/>
    <w:rsid w:val="005B2E42"/>
    <w:rsid w:val="005B2F54"/>
    <w:rsid w:val="005B35BA"/>
    <w:rsid w:val="005B48A0"/>
    <w:rsid w:val="005B4B28"/>
    <w:rsid w:val="005B58FB"/>
    <w:rsid w:val="005C2068"/>
    <w:rsid w:val="005C250F"/>
    <w:rsid w:val="005C4123"/>
    <w:rsid w:val="005C63C7"/>
    <w:rsid w:val="005C66C0"/>
    <w:rsid w:val="005D14E5"/>
    <w:rsid w:val="005D1BEB"/>
    <w:rsid w:val="005D40D1"/>
    <w:rsid w:val="005D4D26"/>
    <w:rsid w:val="005D5DA9"/>
    <w:rsid w:val="005D6A94"/>
    <w:rsid w:val="005D73A6"/>
    <w:rsid w:val="005D7E69"/>
    <w:rsid w:val="005E05FC"/>
    <w:rsid w:val="005E11E2"/>
    <w:rsid w:val="005E13E2"/>
    <w:rsid w:val="005E1C6C"/>
    <w:rsid w:val="005E2F05"/>
    <w:rsid w:val="005E3087"/>
    <w:rsid w:val="005E3156"/>
    <w:rsid w:val="005E5AD9"/>
    <w:rsid w:val="005E6C47"/>
    <w:rsid w:val="005E7546"/>
    <w:rsid w:val="005E79BB"/>
    <w:rsid w:val="005F03FB"/>
    <w:rsid w:val="005F05CC"/>
    <w:rsid w:val="005F0906"/>
    <w:rsid w:val="005F0BA6"/>
    <w:rsid w:val="005F0D10"/>
    <w:rsid w:val="005F1194"/>
    <w:rsid w:val="005F14D1"/>
    <w:rsid w:val="005F1F01"/>
    <w:rsid w:val="005F2680"/>
    <w:rsid w:val="005F39AC"/>
    <w:rsid w:val="005F3F78"/>
    <w:rsid w:val="005F5C56"/>
    <w:rsid w:val="00600C8E"/>
    <w:rsid w:val="006057BB"/>
    <w:rsid w:val="00606E82"/>
    <w:rsid w:val="00607093"/>
    <w:rsid w:val="00607410"/>
    <w:rsid w:val="00607D10"/>
    <w:rsid w:val="00607D82"/>
    <w:rsid w:val="006102AA"/>
    <w:rsid w:val="006107AF"/>
    <w:rsid w:val="00610E68"/>
    <w:rsid w:val="00611B0F"/>
    <w:rsid w:val="0061464E"/>
    <w:rsid w:val="006149C1"/>
    <w:rsid w:val="00616292"/>
    <w:rsid w:val="00616E41"/>
    <w:rsid w:val="0061785B"/>
    <w:rsid w:val="00617D3A"/>
    <w:rsid w:val="00622C22"/>
    <w:rsid w:val="00625A13"/>
    <w:rsid w:val="006301B7"/>
    <w:rsid w:val="006307FD"/>
    <w:rsid w:val="006326C5"/>
    <w:rsid w:val="00634877"/>
    <w:rsid w:val="00635416"/>
    <w:rsid w:val="00636A91"/>
    <w:rsid w:val="006379F9"/>
    <w:rsid w:val="00637E31"/>
    <w:rsid w:val="006402F6"/>
    <w:rsid w:val="006412DB"/>
    <w:rsid w:val="006415F3"/>
    <w:rsid w:val="00642B2F"/>
    <w:rsid w:val="0064318A"/>
    <w:rsid w:val="006434C2"/>
    <w:rsid w:val="006448AF"/>
    <w:rsid w:val="00644AAE"/>
    <w:rsid w:val="00644F48"/>
    <w:rsid w:val="00646F85"/>
    <w:rsid w:val="006472D5"/>
    <w:rsid w:val="00650207"/>
    <w:rsid w:val="00650D82"/>
    <w:rsid w:val="00650DFA"/>
    <w:rsid w:val="00650F5A"/>
    <w:rsid w:val="0065153B"/>
    <w:rsid w:val="00651723"/>
    <w:rsid w:val="006528AF"/>
    <w:rsid w:val="00652F3C"/>
    <w:rsid w:val="00653513"/>
    <w:rsid w:val="0065399E"/>
    <w:rsid w:val="00655ADD"/>
    <w:rsid w:val="0065638C"/>
    <w:rsid w:val="00657B4B"/>
    <w:rsid w:val="00663364"/>
    <w:rsid w:val="00665141"/>
    <w:rsid w:val="00666556"/>
    <w:rsid w:val="00670EC6"/>
    <w:rsid w:val="00671293"/>
    <w:rsid w:val="00671407"/>
    <w:rsid w:val="00673600"/>
    <w:rsid w:val="00673872"/>
    <w:rsid w:val="00673ADF"/>
    <w:rsid w:val="006747B9"/>
    <w:rsid w:val="00674CD5"/>
    <w:rsid w:val="006777F3"/>
    <w:rsid w:val="0068061C"/>
    <w:rsid w:val="006825FD"/>
    <w:rsid w:val="00682E66"/>
    <w:rsid w:val="00683FCA"/>
    <w:rsid w:val="0068403A"/>
    <w:rsid w:val="006854FA"/>
    <w:rsid w:val="006857C7"/>
    <w:rsid w:val="00686059"/>
    <w:rsid w:val="006872AD"/>
    <w:rsid w:val="00693218"/>
    <w:rsid w:val="0069434F"/>
    <w:rsid w:val="006946B3"/>
    <w:rsid w:val="00694845"/>
    <w:rsid w:val="00694C7F"/>
    <w:rsid w:val="006957FA"/>
    <w:rsid w:val="00695E93"/>
    <w:rsid w:val="006A13AB"/>
    <w:rsid w:val="006A370A"/>
    <w:rsid w:val="006A45BA"/>
    <w:rsid w:val="006A592E"/>
    <w:rsid w:val="006A64BD"/>
    <w:rsid w:val="006A66C0"/>
    <w:rsid w:val="006A6A7D"/>
    <w:rsid w:val="006A76D3"/>
    <w:rsid w:val="006A7BE1"/>
    <w:rsid w:val="006B00E8"/>
    <w:rsid w:val="006B0C05"/>
    <w:rsid w:val="006B3094"/>
    <w:rsid w:val="006B4B88"/>
    <w:rsid w:val="006B7BE2"/>
    <w:rsid w:val="006B7FAF"/>
    <w:rsid w:val="006C01CC"/>
    <w:rsid w:val="006C0DA6"/>
    <w:rsid w:val="006C0F1D"/>
    <w:rsid w:val="006C381E"/>
    <w:rsid w:val="006C4980"/>
    <w:rsid w:val="006C7CAD"/>
    <w:rsid w:val="006D0A37"/>
    <w:rsid w:val="006D1D2C"/>
    <w:rsid w:val="006D236A"/>
    <w:rsid w:val="006D2937"/>
    <w:rsid w:val="006D3036"/>
    <w:rsid w:val="006D4F63"/>
    <w:rsid w:val="006D6BE4"/>
    <w:rsid w:val="006D773F"/>
    <w:rsid w:val="006D7B86"/>
    <w:rsid w:val="006E0906"/>
    <w:rsid w:val="006E145C"/>
    <w:rsid w:val="006E2C04"/>
    <w:rsid w:val="006E30BC"/>
    <w:rsid w:val="006E344D"/>
    <w:rsid w:val="006E3D93"/>
    <w:rsid w:val="006E6220"/>
    <w:rsid w:val="006E6D8B"/>
    <w:rsid w:val="006E7D3B"/>
    <w:rsid w:val="006F015C"/>
    <w:rsid w:val="006F0D76"/>
    <w:rsid w:val="006F3E1B"/>
    <w:rsid w:val="006F66F0"/>
    <w:rsid w:val="006F68CE"/>
    <w:rsid w:val="006F7101"/>
    <w:rsid w:val="00701092"/>
    <w:rsid w:val="0070180C"/>
    <w:rsid w:val="00703C2E"/>
    <w:rsid w:val="007046B8"/>
    <w:rsid w:val="00704D4B"/>
    <w:rsid w:val="00705277"/>
    <w:rsid w:val="00705647"/>
    <w:rsid w:val="007056AF"/>
    <w:rsid w:val="007058E3"/>
    <w:rsid w:val="00706617"/>
    <w:rsid w:val="0070730A"/>
    <w:rsid w:val="0070787A"/>
    <w:rsid w:val="00711ACF"/>
    <w:rsid w:val="00711B2A"/>
    <w:rsid w:val="00711BDA"/>
    <w:rsid w:val="00714301"/>
    <w:rsid w:val="00714A71"/>
    <w:rsid w:val="0071532C"/>
    <w:rsid w:val="007173A2"/>
    <w:rsid w:val="007208B0"/>
    <w:rsid w:val="00721192"/>
    <w:rsid w:val="00721A65"/>
    <w:rsid w:val="007222D0"/>
    <w:rsid w:val="00722394"/>
    <w:rsid w:val="007226A5"/>
    <w:rsid w:val="00722FAC"/>
    <w:rsid w:val="007231D5"/>
    <w:rsid w:val="00723636"/>
    <w:rsid w:val="007237D0"/>
    <w:rsid w:val="00724458"/>
    <w:rsid w:val="007247BA"/>
    <w:rsid w:val="00724D46"/>
    <w:rsid w:val="007256C4"/>
    <w:rsid w:val="00727186"/>
    <w:rsid w:val="007328EB"/>
    <w:rsid w:val="00732DA8"/>
    <w:rsid w:val="0073342A"/>
    <w:rsid w:val="007351E6"/>
    <w:rsid w:val="00735C83"/>
    <w:rsid w:val="00737E55"/>
    <w:rsid w:val="007423FF"/>
    <w:rsid w:val="007425E7"/>
    <w:rsid w:val="007428FA"/>
    <w:rsid w:val="00743C98"/>
    <w:rsid w:val="00743D2C"/>
    <w:rsid w:val="00743F4E"/>
    <w:rsid w:val="00743FDC"/>
    <w:rsid w:val="007444C8"/>
    <w:rsid w:val="007446C8"/>
    <w:rsid w:val="0075038C"/>
    <w:rsid w:val="00751124"/>
    <w:rsid w:val="00753709"/>
    <w:rsid w:val="007538E5"/>
    <w:rsid w:val="00755116"/>
    <w:rsid w:val="007571AA"/>
    <w:rsid w:val="0075749B"/>
    <w:rsid w:val="007577C9"/>
    <w:rsid w:val="007579E8"/>
    <w:rsid w:val="00760AD8"/>
    <w:rsid w:val="00760C4E"/>
    <w:rsid w:val="0076106F"/>
    <w:rsid w:val="00761538"/>
    <w:rsid w:val="00761965"/>
    <w:rsid w:val="00762321"/>
    <w:rsid w:val="007631CE"/>
    <w:rsid w:val="007650FE"/>
    <w:rsid w:val="007655D0"/>
    <w:rsid w:val="00765FF9"/>
    <w:rsid w:val="007666AD"/>
    <w:rsid w:val="007706BA"/>
    <w:rsid w:val="00770A43"/>
    <w:rsid w:val="00770E26"/>
    <w:rsid w:val="00771444"/>
    <w:rsid w:val="007734E3"/>
    <w:rsid w:val="00774711"/>
    <w:rsid w:val="00774E69"/>
    <w:rsid w:val="00775C06"/>
    <w:rsid w:val="00776893"/>
    <w:rsid w:val="00777DCB"/>
    <w:rsid w:val="007803D1"/>
    <w:rsid w:val="0078204D"/>
    <w:rsid w:val="00782CB4"/>
    <w:rsid w:val="00783314"/>
    <w:rsid w:val="0078351E"/>
    <w:rsid w:val="00784EFB"/>
    <w:rsid w:val="00785408"/>
    <w:rsid w:val="00785C5C"/>
    <w:rsid w:val="00787420"/>
    <w:rsid w:val="00787E0B"/>
    <w:rsid w:val="007903AD"/>
    <w:rsid w:val="00790F24"/>
    <w:rsid w:val="00791875"/>
    <w:rsid w:val="007927B9"/>
    <w:rsid w:val="00793F45"/>
    <w:rsid w:val="007957D2"/>
    <w:rsid w:val="00796504"/>
    <w:rsid w:val="00797F46"/>
    <w:rsid w:val="007A1E9B"/>
    <w:rsid w:val="007A2B55"/>
    <w:rsid w:val="007A4DC0"/>
    <w:rsid w:val="007A7409"/>
    <w:rsid w:val="007B1611"/>
    <w:rsid w:val="007B3C01"/>
    <w:rsid w:val="007B7820"/>
    <w:rsid w:val="007C00BC"/>
    <w:rsid w:val="007C0B93"/>
    <w:rsid w:val="007C1263"/>
    <w:rsid w:val="007C540B"/>
    <w:rsid w:val="007C5C54"/>
    <w:rsid w:val="007C5CCF"/>
    <w:rsid w:val="007C62C4"/>
    <w:rsid w:val="007C6921"/>
    <w:rsid w:val="007C779A"/>
    <w:rsid w:val="007C7E65"/>
    <w:rsid w:val="007C7F04"/>
    <w:rsid w:val="007D1E82"/>
    <w:rsid w:val="007D2F6D"/>
    <w:rsid w:val="007D3874"/>
    <w:rsid w:val="007D4533"/>
    <w:rsid w:val="007D6D3D"/>
    <w:rsid w:val="007D72A0"/>
    <w:rsid w:val="007D75AE"/>
    <w:rsid w:val="007E1D64"/>
    <w:rsid w:val="007E236B"/>
    <w:rsid w:val="007E7C18"/>
    <w:rsid w:val="007F02AD"/>
    <w:rsid w:val="007F1BD5"/>
    <w:rsid w:val="007F2BB4"/>
    <w:rsid w:val="007F30D8"/>
    <w:rsid w:val="007F4392"/>
    <w:rsid w:val="007F462C"/>
    <w:rsid w:val="007F4C6A"/>
    <w:rsid w:val="007F4F62"/>
    <w:rsid w:val="007F555C"/>
    <w:rsid w:val="007F6DAC"/>
    <w:rsid w:val="007F7042"/>
    <w:rsid w:val="0080001A"/>
    <w:rsid w:val="00800034"/>
    <w:rsid w:val="008018EB"/>
    <w:rsid w:val="00801A8F"/>
    <w:rsid w:val="008059D3"/>
    <w:rsid w:val="00805E3F"/>
    <w:rsid w:val="008076FB"/>
    <w:rsid w:val="008118FD"/>
    <w:rsid w:val="00812231"/>
    <w:rsid w:val="00812918"/>
    <w:rsid w:val="008138D2"/>
    <w:rsid w:val="0081494B"/>
    <w:rsid w:val="00816358"/>
    <w:rsid w:val="008164BA"/>
    <w:rsid w:val="00816C33"/>
    <w:rsid w:val="00817B88"/>
    <w:rsid w:val="0082173F"/>
    <w:rsid w:val="00822590"/>
    <w:rsid w:val="008229C7"/>
    <w:rsid w:val="00822D16"/>
    <w:rsid w:val="00823595"/>
    <w:rsid w:val="00823B62"/>
    <w:rsid w:val="00824AF7"/>
    <w:rsid w:val="00826A12"/>
    <w:rsid w:val="008306CD"/>
    <w:rsid w:val="00831922"/>
    <w:rsid w:val="00831FE7"/>
    <w:rsid w:val="00832355"/>
    <w:rsid w:val="00832891"/>
    <w:rsid w:val="00832CCB"/>
    <w:rsid w:val="00834D4A"/>
    <w:rsid w:val="00836535"/>
    <w:rsid w:val="00837476"/>
    <w:rsid w:val="00837C11"/>
    <w:rsid w:val="0084020E"/>
    <w:rsid w:val="0084109B"/>
    <w:rsid w:val="00841DD0"/>
    <w:rsid w:val="0084208C"/>
    <w:rsid w:val="00842708"/>
    <w:rsid w:val="00844401"/>
    <w:rsid w:val="00844E67"/>
    <w:rsid w:val="00845ABE"/>
    <w:rsid w:val="0084748F"/>
    <w:rsid w:val="00847BD5"/>
    <w:rsid w:val="00850793"/>
    <w:rsid w:val="0085201B"/>
    <w:rsid w:val="00853FCF"/>
    <w:rsid w:val="00854AB5"/>
    <w:rsid w:val="00855C28"/>
    <w:rsid w:val="00855D23"/>
    <w:rsid w:val="0085624E"/>
    <w:rsid w:val="00861738"/>
    <w:rsid w:val="0086292A"/>
    <w:rsid w:val="008657C9"/>
    <w:rsid w:val="008707CF"/>
    <w:rsid w:val="00870AA1"/>
    <w:rsid w:val="00870D46"/>
    <w:rsid w:val="008725EA"/>
    <w:rsid w:val="00872CD2"/>
    <w:rsid w:val="0087365F"/>
    <w:rsid w:val="00874F6B"/>
    <w:rsid w:val="008752A7"/>
    <w:rsid w:val="0087546E"/>
    <w:rsid w:val="00875A20"/>
    <w:rsid w:val="00876ACE"/>
    <w:rsid w:val="0087709B"/>
    <w:rsid w:val="008772D0"/>
    <w:rsid w:val="00880954"/>
    <w:rsid w:val="0088143F"/>
    <w:rsid w:val="00881801"/>
    <w:rsid w:val="00882F29"/>
    <w:rsid w:val="00883262"/>
    <w:rsid w:val="008850F9"/>
    <w:rsid w:val="00887371"/>
    <w:rsid w:val="00890FDB"/>
    <w:rsid w:val="008915BB"/>
    <w:rsid w:val="00892BB6"/>
    <w:rsid w:val="00892EBA"/>
    <w:rsid w:val="0089498A"/>
    <w:rsid w:val="008949E0"/>
    <w:rsid w:val="00894BAE"/>
    <w:rsid w:val="008978E5"/>
    <w:rsid w:val="00897D75"/>
    <w:rsid w:val="00897F35"/>
    <w:rsid w:val="008A12B2"/>
    <w:rsid w:val="008A156D"/>
    <w:rsid w:val="008A1AEF"/>
    <w:rsid w:val="008A2217"/>
    <w:rsid w:val="008A384A"/>
    <w:rsid w:val="008A3A49"/>
    <w:rsid w:val="008A4BDE"/>
    <w:rsid w:val="008A4FCF"/>
    <w:rsid w:val="008A5097"/>
    <w:rsid w:val="008A6651"/>
    <w:rsid w:val="008A680E"/>
    <w:rsid w:val="008A702B"/>
    <w:rsid w:val="008A7BEA"/>
    <w:rsid w:val="008B0494"/>
    <w:rsid w:val="008B0E48"/>
    <w:rsid w:val="008B1437"/>
    <w:rsid w:val="008B1E6F"/>
    <w:rsid w:val="008B237E"/>
    <w:rsid w:val="008B31A0"/>
    <w:rsid w:val="008B362B"/>
    <w:rsid w:val="008B4D18"/>
    <w:rsid w:val="008B6D9F"/>
    <w:rsid w:val="008C0795"/>
    <w:rsid w:val="008C1051"/>
    <w:rsid w:val="008C1A72"/>
    <w:rsid w:val="008C3C64"/>
    <w:rsid w:val="008C40C3"/>
    <w:rsid w:val="008C55FA"/>
    <w:rsid w:val="008C61FA"/>
    <w:rsid w:val="008C6916"/>
    <w:rsid w:val="008C75AE"/>
    <w:rsid w:val="008D0972"/>
    <w:rsid w:val="008D0B1E"/>
    <w:rsid w:val="008D114A"/>
    <w:rsid w:val="008D32E7"/>
    <w:rsid w:val="008D3BEB"/>
    <w:rsid w:val="008D66A5"/>
    <w:rsid w:val="008D6890"/>
    <w:rsid w:val="008E03A4"/>
    <w:rsid w:val="008E06CC"/>
    <w:rsid w:val="008E24D4"/>
    <w:rsid w:val="008E2982"/>
    <w:rsid w:val="008E34C5"/>
    <w:rsid w:val="008E360F"/>
    <w:rsid w:val="008E39E2"/>
    <w:rsid w:val="008E40D6"/>
    <w:rsid w:val="008E478B"/>
    <w:rsid w:val="008E4FC8"/>
    <w:rsid w:val="008E6E3D"/>
    <w:rsid w:val="008E710C"/>
    <w:rsid w:val="008E7739"/>
    <w:rsid w:val="008E7F15"/>
    <w:rsid w:val="008F1A5F"/>
    <w:rsid w:val="008F2AF7"/>
    <w:rsid w:val="008F322D"/>
    <w:rsid w:val="008F5B29"/>
    <w:rsid w:val="008F690F"/>
    <w:rsid w:val="008F7BBA"/>
    <w:rsid w:val="008F7C0B"/>
    <w:rsid w:val="009016F0"/>
    <w:rsid w:val="0090511D"/>
    <w:rsid w:val="0090627F"/>
    <w:rsid w:val="00906A2B"/>
    <w:rsid w:val="00906B57"/>
    <w:rsid w:val="0090770F"/>
    <w:rsid w:val="0091222B"/>
    <w:rsid w:val="009131B3"/>
    <w:rsid w:val="009134AD"/>
    <w:rsid w:val="00913871"/>
    <w:rsid w:val="00913DB2"/>
    <w:rsid w:val="009149F8"/>
    <w:rsid w:val="009150BD"/>
    <w:rsid w:val="00916373"/>
    <w:rsid w:val="00916F67"/>
    <w:rsid w:val="009174EA"/>
    <w:rsid w:val="00917658"/>
    <w:rsid w:val="0092013F"/>
    <w:rsid w:val="00922E92"/>
    <w:rsid w:val="00923500"/>
    <w:rsid w:val="00925A2A"/>
    <w:rsid w:val="009279D1"/>
    <w:rsid w:val="0093023C"/>
    <w:rsid w:val="00930AA9"/>
    <w:rsid w:val="00930FC3"/>
    <w:rsid w:val="009314EC"/>
    <w:rsid w:val="00931810"/>
    <w:rsid w:val="009353FF"/>
    <w:rsid w:val="00936D83"/>
    <w:rsid w:val="00940A5E"/>
    <w:rsid w:val="0094111E"/>
    <w:rsid w:val="00941185"/>
    <w:rsid w:val="00942171"/>
    <w:rsid w:val="0094255B"/>
    <w:rsid w:val="00943307"/>
    <w:rsid w:val="0094589D"/>
    <w:rsid w:val="009468E2"/>
    <w:rsid w:val="009475EA"/>
    <w:rsid w:val="009479AF"/>
    <w:rsid w:val="009510AE"/>
    <w:rsid w:val="0095185C"/>
    <w:rsid w:val="009518C7"/>
    <w:rsid w:val="00952A5D"/>
    <w:rsid w:val="00952C59"/>
    <w:rsid w:val="009542E1"/>
    <w:rsid w:val="00954A1B"/>
    <w:rsid w:val="00954AAB"/>
    <w:rsid w:val="00955014"/>
    <w:rsid w:val="00955B85"/>
    <w:rsid w:val="00955CE7"/>
    <w:rsid w:val="00956A27"/>
    <w:rsid w:val="00956B0F"/>
    <w:rsid w:val="00960DF6"/>
    <w:rsid w:val="0096201C"/>
    <w:rsid w:val="00966447"/>
    <w:rsid w:val="00967401"/>
    <w:rsid w:val="0096772B"/>
    <w:rsid w:val="00967EE2"/>
    <w:rsid w:val="00972186"/>
    <w:rsid w:val="009729BF"/>
    <w:rsid w:val="009734E0"/>
    <w:rsid w:val="00974866"/>
    <w:rsid w:val="00974B0E"/>
    <w:rsid w:val="00974D93"/>
    <w:rsid w:val="00976DD6"/>
    <w:rsid w:val="009806D6"/>
    <w:rsid w:val="00981832"/>
    <w:rsid w:val="009846B4"/>
    <w:rsid w:val="00985AFF"/>
    <w:rsid w:val="00985DE8"/>
    <w:rsid w:val="00986727"/>
    <w:rsid w:val="00986831"/>
    <w:rsid w:val="00986859"/>
    <w:rsid w:val="00987AB8"/>
    <w:rsid w:val="009915CB"/>
    <w:rsid w:val="00992B59"/>
    <w:rsid w:val="00993A8D"/>
    <w:rsid w:val="0099457B"/>
    <w:rsid w:val="00995288"/>
    <w:rsid w:val="009977AA"/>
    <w:rsid w:val="009978B5"/>
    <w:rsid w:val="0099792E"/>
    <w:rsid w:val="00997E81"/>
    <w:rsid w:val="009A0F50"/>
    <w:rsid w:val="009A6F86"/>
    <w:rsid w:val="009A6FFE"/>
    <w:rsid w:val="009A75D3"/>
    <w:rsid w:val="009A793D"/>
    <w:rsid w:val="009B1F02"/>
    <w:rsid w:val="009B60B1"/>
    <w:rsid w:val="009B6937"/>
    <w:rsid w:val="009B6C9C"/>
    <w:rsid w:val="009B74F2"/>
    <w:rsid w:val="009B7C8B"/>
    <w:rsid w:val="009C0E22"/>
    <w:rsid w:val="009C424B"/>
    <w:rsid w:val="009C50C9"/>
    <w:rsid w:val="009C698E"/>
    <w:rsid w:val="009C71BE"/>
    <w:rsid w:val="009C73C0"/>
    <w:rsid w:val="009C7B5B"/>
    <w:rsid w:val="009D040A"/>
    <w:rsid w:val="009D0CF7"/>
    <w:rsid w:val="009D1645"/>
    <w:rsid w:val="009D206C"/>
    <w:rsid w:val="009D3CEE"/>
    <w:rsid w:val="009D4219"/>
    <w:rsid w:val="009D52AA"/>
    <w:rsid w:val="009E08F3"/>
    <w:rsid w:val="009E108A"/>
    <w:rsid w:val="009E15B7"/>
    <w:rsid w:val="009E2BA7"/>
    <w:rsid w:val="009E347D"/>
    <w:rsid w:val="009E35A2"/>
    <w:rsid w:val="009E4DBA"/>
    <w:rsid w:val="009E556A"/>
    <w:rsid w:val="009E55D5"/>
    <w:rsid w:val="009E5617"/>
    <w:rsid w:val="009E592A"/>
    <w:rsid w:val="009E5DD2"/>
    <w:rsid w:val="009E6B90"/>
    <w:rsid w:val="009F00D0"/>
    <w:rsid w:val="009F04C4"/>
    <w:rsid w:val="009F0546"/>
    <w:rsid w:val="009F0788"/>
    <w:rsid w:val="009F0F23"/>
    <w:rsid w:val="009F0FF0"/>
    <w:rsid w:val="009F1CCC"/>
    <w:rsid w:val="009F5066"/>
    <w:rsid w:val="00A023AA"/>
    <w:rsid w:val="00A0451F"/>
    <w:rsid w:val="00A06931"/>
    <w:rsid w:val="00A1349B"/>
    <w:rsid w:val="00A13988"/>
    <w:rsid w:val="00A145DC"/>
    <w:rsid w:val="00A1692F"/>
    <w:rsid w:val="00A20ACB"/>
    <w:rsid w:val="00A219BD"/>
    <w:rsid w:val="00A21D6A"/>
    <w:rsid w:val="00A2264F"/>
    <w:rsid w:val="00A245E0"/>
    <w:rsid w:val="00A251E2"/>
    <w:rsid w:val="00A26EF5"/>
    <w:rsid w:val="00A27229"/>
    <w:rsid w:val="00A30388"/>
    <w:rsid w:val="00A30474"/>
    <w:rsid w:val="00A30F67"/>
    <w:rsid w:val="00A31625"/>
    <w:rsid w:val="00A32D71"/>
    <w:rsid w:val="00A33B8C"/>
    <w:rsid w:val="00A34353"/>
    <w:rsid w:val="00A358F1"/>
    <w:rsid w:val="00A36B86"/>
    <w:rsid w:val="00A3775C"/>
    <w:rsid w:val="00A4021B"/>
    <w:rsid w:val="00A4097C"/>
    <w:rsid w:val="00A41546"/>
    <w:rsid w:val="00A42E9F"/>
    <w:rsid w:val="00A44631"/>
    <w:rsid w:val="00A447CC"/>
    <w:rsid w:val="00A45168"/>
    <w:rsid w:val="00A453D6"/>
    <w:rsid w:val="00A456EC"/>
    <w:rsid w:val="00A45900"/>
    <w:rsid w:val="00A459D1"/>
    <w:rsid w:val="00A46FED"/>
    <w:rsid w:val="00A473BE"/>
    <w:rsid w:val="00A5012A"/>
    <w:rsid w:val="00A50F0D"/>
    <w:rsid w:val="00A51833"/>
    <w:rsid w:val="00A52478"/>
    <w:rsid w:val="00A52C44"/>
    <w:rsid w:val="00A53EC9"/>
    <w:rsid w:val="00A54E8C"/>
    <w:rsid w:val="00A55E28"/>
    <w:rsid w:val="00A605D4"/>
    <w:rsid w:val="00A60E5B"/>
    <w:rsid w:val="00A620D5"/>
    <w:rsid w:val="00A625A2"/>
    <w:rsid w:val="00A63164"/>
    <w:rsid w:val="00A646A0"/>
    <w:rsid w:val="00A653FE"/>
    <w:rsid w:val="00A66115"/>
    <w:rsid w:val="00A665C9"/>
    <w:rsid w:val="00A6712D"/>
    <w:rsid w:val="00A70E47"/>
    <w:rsid w:val="00A71756"/>
    <w:rsid w:val="00A7181A"/>
    <w:rsid w:val="00A71838"/>
    <w:rsid w:val="00A718A2"/>
    <w:rsid w:val="00A73B5B"/>
    <w:rsid w:val="00A7444B"/>
    <w:rsid w:val="00A75049"/>
    <w:rsid w:val="00A7539D"/>
    <w:rsid w:val="00A759E0"/>
    <w:rsid w:val="00A77E12"/>
    <w:rsid w:val="00A8178E"/>
    <w:rsid w:val="00A82B54"/>
    <w:rsid w:val="00A8312F"/>
    <w:rsid w:val="00A83E27"/>
    <w:rsid w:val="00A86284"/>
    <w:rsid w:val="00A8629C"/>
    <w:rsid w:val="00A862E9"/>
    <w:rsid w:val="00A8755E"/>
    <w:rsid w:val="00A87D80"/>
    <w:rsid w:val="00A9148A"/>
    <w:rsid w:val="00A91756"/>
    <w:rsid w:val="00A925D0"/>
    <w:rsid w:val="00A93906"/>
    <w:rsid w:val="00A94788"/>
    <w:rsid w:val="00A9513F"/>
    <w:rsid w:val="00A95A6B"/>
    <w:rsid w:val="00A95F7F"/>
    <w:rsid w:val="00A96FFC"/>
    <w:rsid w:val="00AA135D"/>
    <w:rsid w:val="00AA25F9"/>
    <w:rsid w:val="00AA3A9D"/>
    <w:rsid w:val="00AA4416"/>
    <w:rsid w:val="00AA49C1"/>
    <w:rsid w:val="00AA5E34"/>
    <w:rsid w:val="00AA63F8"/>
    <w:rsid w:val="00AA7291"/>
    <w:rsid w:val="00AA78DE"/>
    <w:rsid w:val="00AA7AC8"/>
    <w:rsid w:val="00AB11FA"/>
    <w:rsid w:val="00AB1A6C"/>
    <w:rsid w:val="00AB1F2E"/>
    <w:rsid w:val="00AB2C73"/>
    <w:rsid w:val="00AB51F1"/>
    <w:rsid w:val="00AB5ED7"/>
    <w:rsid w:val="00AB663C"/>
    <w:rsid w:val="00AB6E2C"/>
    <w:rsid w:val="00AB6FDA"/>
    <w:rsid w:val="00AC00B8"/>
    <w:rsid w:val="00AC0691"/>
    <w:rsid w:val="00AC1845"/>
    <w:rsid w:val="00AC25D0"/>
    <w:rsid w:val="00AC2AF2"/>
    <w:rsid w:val="00AC35DE"/>
    <w:rsid w:val="00AC5835"/>
    <w:rsid w:val="00AC60DF"/>
    <w:rsid w:val="00AC61E8"/>
    <w:rsid w:val="00AC67F5"/>
    <w:rsid w:val="00AC6B96"/>
    <w:rsid w:val="00AC6E26"/>
    <w:rsid w:val="00AD394A"/>
    <w:rsid w:val="00AD44DF"/>
    <w:rsid w:val="00AD531A"/>
    <w:rsid w:val="00AD65E9"/>
    <w:rsid w:val="00AE0889"/>
    <w:rsid w:val="00AE173F"/>
    <w:rsid w:val="00AE2258"/>
    <w:rsid w:val="00AE3653"/>
    <w:rsid w:val="00AE4B03"/>
    <w:rsid w:val="00AE5786"/>
    <w:rsid w:val="00AE6057"/>
    <w:rsid w:val="00AE79FE"/>
    <w:rsid w:val="00AF020A"/>
    <w:rsid w:val="00AF0385"/>
    <w:rsid w:val="00AF0399"/>
    <w:rsid w:val="00AF050C"/>
    <w:rsid w:val="00AF07C8"/>
    <w:rsid w:val="00AF0C8E"/>
    <w:rsid w:val="00AF270A"/>
    <w:rsid w:val="00AF2CA6"/>
    <w:rsid w:val="00AF3923"/>
    <w:rsid w:val="00AF3AE6"/>
    <w:rsid w:val="00AF3B30"/>
    <w:rsid w:val="00AF3F53"/>
    <w:rsid w:val="00AF6163"/>
    <w:rsid w:val="00AF766B"/>
    <w:rsid w:val="00AF7902"/>
    <w:rsid w:val="00AF7EEC"/>
    <w:rsid w:val="00AF7F3E"/>
    <w:rsid w:val="00B00BD7"/>
    <w:rsid w:val="00B00BDA"/>
    <w:rsid w:val="00B00C59"/>
    <w:rsid w:val="00B00CC4"/>
    <w:rsid w:val="00B038D4"/>
    <w:rsid w:val="00B045DC"/>
    <w:rsid w:val="00B04DDC"/>
    <w:rsid w:val="00B0535D"/>
    <w:rsid w:val="00B110CD"/>
    <w:rsid w:val="00B138A3"/>
    <w:rsid w:val="00B142D4"/>
    <w:rsid w:val="00B151EF"/>
    <w:rsid w:val="00B1529B"/>
    <w:rsid w:val="00B15651"/>
    <w:rsid w:val="00B15BC6"/>
    <w:rsid w:val="00B168AB"/>
    <w:rsid w:val="00B178C2"/>
    <w:rsid w:val="00B178C4"/>
    <w:rsid w:val="00B201AE"/>
    <w:rsid w:val="00B2081D"/>
    <w:rsid w:val="00B20A82"/>
    <w:rsid w:val="00B212B0"/>
    <w:rsid w:val="00B219CC"/>
    <w:rsid w:val="00B21DA5"/>
    <w:rsid w:val="00B23733"/>
    <w:rsid w:val="00B23F8F"/>
    <w:rsid w:val="00B24591"/>
    <w:rsid w:val="00B2475E"/>
    <w:rsid w:val="00B252B4"/>
    <w:rsid w:val="00B25D6E"/>
    <w:rsid w:val="00B268A5"/>
    <w:rsid w:val="00B313B1"/>
    <w:rsid w:val="00B3366D"/>
    <w:rsid w:val="00B34A0B"/>
    <w:rsid w:val="00B362A8"/>
    <w:rsid w:val="00B37BFD"/>
    <w:rsid w:val="00B37F7F"/>
    <w:rsid w:val="00B40413"/>
    <w:rsid w:val="00B40DE4"/>
    <w:rsid w:val="00B41B25"/>
    <w:rsid w:val="00B427E8"/>
    <w:rsid w:val="00B439C7"/>
    <w:rsid w:val="00B4751A"/>
    <w:rsid w:val="00B47593"/>
    <w:rsid w:val="00B47622"/>
    <w:rsid w:val="00B47DF0"/>
    <w:rsid w:val="00B51DEB"/>
    <w:rsid w:val="00B5230C"/>
    <w:rsid w:val="00B5314D"/>
    <w:rsid w:val="00B54006"/>
    <w:rsid w:val="00B54402"/>
    <w:rsid w:val="00B55326"/>
    <w:rsid w:val="00B57008"/>
    <w:rsid w:val="00B578C6"/>
    <w:rsid w:val="00B57A3C"/>
    <w:rsid w:val="00B57FB4"/>
    <w:rsid w:val="00B609E6"/>
    <w:rsid w:val="00B60F5E"/>
    <w:rsid w:val="00B6274C"/>
    <w:rsid w:val="00B62D9F"/>
    <w:rsid w:val="00B63A64"/>
    <w:rsid w:val="00B64D3A"/>
    <w:rsid w:val="00B64EE3"/>
    <w:rsid w:val="00B657E1"/>
    <w:rsid w:val="00B6664A"/>
    <w:rsid w:val="00B66C7C"/>
    <w:rsid w:val="00B70172"/>
    <w:rsid w:val="00B70C15"/>
    <w:rsid w:val="00B70D6E"/>
    <w:rsid w:val="00B71BAF"/>
    <w:rsid w:val="00B73212"/>
    <w:rsid w:val="00B73D1A"/>
    <w:rsid w:val="00B74547"/>
    <w:rsid w:val="00B75181"/>
    <w:rsid w:val="00B75697"/>
    <w:rsid w:val="00B758BD"/>
    <w:rsid w:val="00B759F5"/>
    <w:rsid w:val="00B76586"/>
    <w:rsid w:val="00B7661D"/>
    <w:rsid w:val="00B76A2C"/>
    <w:rsid w:val="00B77556"/>
    <w:rsid w:val="00B80092"/>
    <w:rsid w:val="00B819AB"/>
    <w:rsid w:val="00B8203F"/>
    <w:rsid w:val="00B837AD"/>
    <w:rsid w:val="00B8445D"/>
    <w:rsid w:val="00B844CD"/>
    <w:rsid w:val="00B84685"/>
    <w:rsid w:val="00B852BE"/>
    <w:rsid w:val="00B86642"/>
    <w:rsid w:val="00B8668E"/>
    <w:rsid w:val="00B86F93"/>
    <w:rsid w:val="00B90EEA"/>
    <w:rsid w:val="00B91206"/>
    <w:rsid w:val="00B9144E"/>
    <w:rsid w:val="00B933C3"/>
    <w:rsid w:val="00B93685"/>
    <w:rsid w:val="00B9372F"/>
    <w:rsid w:val="00B93D85"/>
    <w:rsid w:val="00B94FE1"/>
    <w:rsid w:val="00B95CD8"/>
    <w:rsid w:val="00B9617E"/>
    <w:rsid w:val="00B96DC1"/>
    <w:rsid w:val="00B97499"/>
    <w:rsid w:val="00B97A28"/>
    <w:rsid w:val="00B97BAF"/>
    <w:rsid w:val="00B97C0F"/>
    <w:rsid w:val="00BA03FD"/>
    <w:rsid w:val="00BA05CB"/>
    <w:rsid w:val="00BA0E9B"/>
    <w:rsid w:val="00BA242B"/>
    <w:rsid w:val="00BA3485"/>
    <w:rsid w:val="00BA36C5"/>
    <w:rsid w:val="00BA3957"/>
    <w:rsid w:val="00BA43FC"/>
    <w:rsid w:val="00BA4426"/>
    <w:rsid w:val="00BA70DB"/>
    <w:rsid w:val="00BB0C6F"/>
    <w:rsid w:val="00BB24F6"/>
    <w:rsid w:val="00BB4162"/>
    <w:rsid w:val="00BB43F4"/>
    <w:rsid w:val="00BB45BA"/>
    <w:rsid w:val="00BB4E1A"/>
    <w:rsid w:val="00BB5CA0"/>
    <w:rsid w:val="00BB5F91"/>
    <w:rsid w:val="00BB6268"/>
    <w:rsid w:val="00BB6967"/>
    <w:rsid w:val="00BB75B8"/>
    <w:rsid w:val="00BC0C68"/>
    <w:rsid w:val="00BC208A"/>
    <w:rsid w:val="00BC229D"/>
    <w:rsid w:val="00BC3984"/>
    <w:rsid w:val="00BC3CA0"/>
    <w:rsid w:val="00BC4747"/>
    <w:rsid w:val="00BC6083"/>
    <w:rsid w:val="00BC6193"/>
    <w:rsid w:val="00BC6551"/>
    <w:rsid w:val="00BC6AE0"/>
    <w:rsid w:val="00BC6E0B"/>
    <w:rsid w:val="00BC7385"/>
    <w:rsid w:val="00BC7667"/>
    <w:rsid w:val="00BD11E2"/>
    <w:rsid w:val="00BD260D"/>
    <w:rsid w:val="00BD300F"/>
    <w:rsid w:val="00BD3C8E"/>
    <w:rsid w:val="00BD4A01"/>
    <w:rsid w:val="00BD4ABA"/>
    <w:rsid w:val="00BD6D3F"/>
    <w:rsid w:val="00BD76FB"/>
    <w:rsid w:val="00BD7D49"/>
    <w:rsid w:val="00BE15DA"/>
    <w:rsid w:val="00BE3D1E"/>
    <w:rsid w:val="00BE3FB4"/>
    <w:rsid w:val="00BE496A"/>
    <w:rsid w:val="00BE4A29"/>
    <w:rsid w:val="00BE55F3"/>
    <w:rsid w:val="00BE6FEE"/>
    <w:rsid w:val="00BF0023"/>
    <w:rsid w:val="00BF099F"/>
    <w:rsid w:val="00BF1559"/>
    <w:rsid w:val="00BF26CD"/>
    <w:rsid w:val="00BF2D7C"/>
    <w:rsid w:val="00BF31D9"/>
    <w:rsid w:val="00BF4D3D"/>
    <w:rsid w:val="00BF5AFF"/>
    <w:rsid w:val="00BF5EDA"/>
    <w:rsid w:val="00BF60A7"/>
    <w:rsid w:val="00BF6E14"/>
    <w:rsid w:val="00BF6E15"/>
    <w:rsid w:val="00BF7F5D"/>
    <w:rsid w:val="00C00487"/>
    <w:rsid w:val="00C0165B"/>
    <w:rsid w:val="00C01DEE"/>
    <w:rsid w:val="00C02E7B"/>
    <w:rsid w:val="00C05D2B"/>
    <w:rsid w:val="00C0613D"/>
    <w:rsid w:val="00C06B8E"/>
    <w:rsid w:val="00C07938"/>
    <w:rsid w:val="00C1010B"/>
    <w:rsid w:val="00C11ECD"/>
    <w:rsid w:val="00C12CBB"/>
    <w:rsid w:val="00C1361B"/>
    <w:rsid w:val="00C14219"/>
    <w:rsid w:val="00C150FB"/>
    <w:rsid w:val="00C1527F"/>
    <w:rsid w:val="00C1551C"/>
    <w:rsid w:val="00C15887"/>
    <w:rsid w:val="00C17633"/>
    <w:rsid w:val="00C179E8"/>
    <w:rsid w:val="00C20133"/>
    <w:rsid w:val="00C224A6"/>
    <w:rsid w:val="00C22536"/>
    <w:rsid w:val="00C2389C"/>
    <w:rsid w:val="00C24A0B"/>
    <w:rsid w:val="00C24F2E"/>
    <w:rsid w:val="00C24F62"/>
    <w:rsid w:val="00C30CF7"/>
    <w:rsid w:val="00C31B88"/>
    <w:rsid w:val="00C3409D"/>
    <w:rsid w:val="00C34948"/>
    <w:rsid w:val="00C349EB"/>
    <w:rsid w:val="00C359D4"/>
    <w:rsid w:val="00C37F10"/>
    <w:rsid w:val="00C37F6C"/>
    <w:rsid w:val="00C402E9"/>
    <w:rsid w:val="00C412AA"/>
    <w:rsid w:val="00C42423"/>
    <w:rsid w:val="00C4522A"/>
    <w:rsid w:val="00C45B4E"/>
    <w:rsid w:val="00C4611C"/>
    <w:rsid w:val="00C46B4D"/>
    <w:rsid w:val="00C512E2"/>
    <w:rsid w:val="00C53239"/>
    <w:rsid w:val="00C5345B"/>
    <w:rsid w:val="00C53B53"/>
    <w:rsid w:val="00C5494E"/>
    <w:rsid w:val="00C55077"/>
    <w:rsid w:val="00C55227"/>
    <w:rsid w:val="00C5623D"/>
    <w:rsid w:val="00C60F34"/>
    <w:rsid w:val="00C61603"/>
    <w:rsid w:val="00C6192F"/>
    <w:rsid w:val="00C61F92"/>
    <w:rsid w:val="00C62B9D"/>
    <w:rsid w:val="00C6345A"/>
    <w:rsid w:val="00C634FD"/>
    <w:rsid w:val="00C6450B"/>
    <w:rsid w:val="00C6489C"/>
    <w:rsid w:val="00C64C3B"/>
    <w:rsid w:val="00C65932"/>
    <w:rsid w:val="00C66259"/>
    <w:rsid w:val="00C675D0"/>
    <w:rsid w:val="00C705B8"/>
    <w:rsid w:val="00C708B3"/>
    <w:rsid w:val="00C7190E"/>
    <w:rsid w:val="00C71E8E"/>
    <w:rsid w:val="00C71EE5"/>
    <w:rsid w:val="00C73AF9"/>
    <w:rsid w:val="00C73CB3"/>
    <w:rsid w:val="00C73FB6"/>
    <w:rsid w:val="00C746D9"/>
    <w:rsid w:val="00C74FD9"/>
    <w:rsid w:val="00C75BC0"/>
    <w:rsid w:val="00C81051"/>
    <w:rsid w:val="00C81497"/>
    <w:rsid w:val="00C81739"/>
    <w:rsid w:val="00C81B6C"/>
    <w:rsid w:val="00C832BE"/>
    <w:rsid w:val="00C840D6"/>
    <w:rsid w:val="00C8417E"/>
    <w:rsid w:val="00C846FC"/>
    <w:rsid w:val="00C859D6"/>
    <w:rsid w:val="00C87013"/>
    <w:rsid w:val="00C905F8"/>
    <w:rsid w:val="00C92198"/>
    <w:rsid w:val="00C93188"/>
    <w:rsid w:val="00C9357B"/>
    <w:rsid w:val="00C94247"/>
    <w:rsid w:val="00C94D82"/>
    <w:rsid w:val="00C950AD"/>
    <w:rsid w:val="00C953B7"/>
    <w:rsid w:val="00C95F2F"/>
    <w:rsid w:val="00C96604"/>
    <w:rsid w:val="00C96CAD"/>
    <w:rsid w:val="00C9777C"/>
    <w:rsid w:val="00C97CEE"/>
    <w:rsid w:val="00C97FC0"/>
    <w:rsid w:val="00CA0DD6"/>
    <w:rsid w:val="00CA0FB2"/>
    <w:rsid w:val="00CA12D3"/>
    <w:rsid w:val="00CA17C9"/>
    <w:rsid w:val="00CA2733"/>
    <w:rsid w:val="00CA2AB3"/>
    <w:rsid w:val="00CA448B"/>
    <w:rsid w:val="00CA4606"/>
    <w:rsid w:val="00CA488A"/>
    <w:rsid w:val="00CA5B24"/>
    <w:rsid w:val="00CA5FDC"/>
    <w:rsid w:val="00CA647E"/>
    <w:rsid w:val="00CA7748"/>
    <w:rsid w:val="00CA7883"/>
    <w:rsid w:val="00CA7E08"/>
    <w:rsid w:val="00CB053C"/>
    <w:rsid w:val="00CB0FC4"/>
    <w:rsid w:val="00CB22E6"/>
    <w:rsid w:val="00CB30B6"/>
    <w:rsid w:val="00CB4641"/>
    <w:rsid w:val="00CB5255"/>
    <w:rsid w:val="00CB5DDA"/>
    <w:rsid w:val="00CB6807"/>
    <w:rsid w:val="00CB6A75"/>
    <w:rsid w:val="00CB7474"/>
    <w:rsid w:val="00CC0ABB"/>
    <w:rsid w:val="00CC0F8D"/>
    <w:rsid w:val="00CC165A"/>
    <w:rsid w:val="00CC16E6"/>
    <w:rsid w:val="00CC2BE6"/>
    <w:rsid w:val="00CC324C"/>
    <w:rsid w:val="00CC464D"/>
    <w:rsid w:val="00CC56FF"/>
    <w:rsid w:val="00CC5B73"/>
    <w:rsid w:val="00CC6082"/>
    <w:rsid w:val="00CC64AA"/>
    <w:rsid w:val="00CC6DCA"/>
    <w:rsid w:val="00CC7A34"/>
    <w:rsid w:val="00CC7FB4"/>
    <w:rsid w:val="00CD01B9"/>
    <w:rsid w:val="00CD1EAB"/>
    <w:rsid w:val="00CD3D6F"/>
    <w:rsid w:val="00CD4D49"/>
    <w:rsid w:val="00CD5861"/>
    <w:rsid w:val="00CD6194"/>
    <w:rsid w:val="00CE2398"/>
    <w:rsid w:val="00CE291E"/>
    <w:rsid w:val="00CE2B99"/>
    <w:rsid w:val="00CE4647"/>
    <w:rsid w:val="00CE56A2"/>
    <w:rsid w:val="00CE6B35"/>
    <w:rsid w:val="00CE6C5E"/>
    <w:rsid w:val="00CF1BF0"/>
    <w:rsid w:val="00CF21A1"/>
    <w:rsid w:val="00CF381A"/>
    <w:rsid w:val="00CF3AB4"/>
    <w:rsid w:val="00CF3E8D"/>
    <w:rsid w:val="00CF3F58"/>
    <w:rsid w:val="00CF51D8"/>
    <w:rsid w:val="00CF6A79"/>
    <w:rsid w:val="00CF6CA3"/>
    <w:rsid w:val="00CF71F0"/>
    <w:rsid w:val="00D00571"/>
    <w:rsid w:val="00D005E3"/>
    <w:rsid w:val="00D008BE"/>
    <w:rsid w:val="00D02301"/>
    <w:rsid w:val="00D02739"/>
    <w:rsid w:val="00D050C0"/>
    <w:rsid w:val="00D069AD"/>
    <w:rsid w:val="00D108AF"/>
    <w:rsid w:val="00D10D76"/>
    <w:rsid w:val="00D112CD"/>
    <w:rsid w:val="00D11A73"/>
    <w:rsid w:val="00D12D2C"/>
    <w:rsid w:val="00D1377F"/>
    <w:rsid w:val="00D13A05"/>
    <w:rsid w:val="00D13D7C"/>
    <w:rsid w:val="00D147BD"/>
    <w:rsid w:val="00D14E99"/>
    <w:rsid w:val="00D15C1B"/>
    <w:rsid w:val="00D15E0B"/>
    <w:rsid w:val="00D17946"/>
    <w:rsid w:val="00D210F3"/>
    <w:rsid w:val="00D2500A"/>
    <w:rsid w:val="00D252B2"/>
    <w:rsid w:val="00D25711"/>
    <w:rsid w:val="00D277FF"/>
    <w:rsid w:val="00D304EA"/>
    <w:rsid w:val="00D30A9F"/>
    <w:rsid w:val="00D31E82"/>
    <w:rsid w:val="00D31F7C"/>
    <w:rsid w:val="00D34415"/>
    <w:rsid w:val="00D3484F"/>
    <w:rsid w:val="00D34C92"/>
    <w:rsid w:val="00D350DC"/>
    <w:rsid w:val="00D3684C"/>
    <w:rsid w:val="00D37297"/>
    <w:rsid w:val="00D37C9A"/>
    <w:rsid w:val="00D401FC"/>
    <w:rsid w:val="00D4136A"/>
    <w:rsid w:val="00D41C75"/>
    <w:rsid w:val="00D4203B"/>
    <w:rsid w:val="00D42A63"/>
    <w:rsid w:val="00D42FBF"/>
    <w:rsid w:val="00D43293"/>
    <w:rsid w:val="00D439F3"/>
    <w:rsid w:val="00D43E09"/>
    <w:rsid w:val="00D44C04"/>
    <w:rsid w:val="00D468BF"/>
    <w:rsid w:val="00D4719C"/>
    <w:rsid w:val="00D507AC"/>
    <w:rsid w:val="00D51269"/>
    <w:rsid w:val="00D51AE0"/>
    <w:rsid w:val="00D52C87"/>
    <w:rsid w:val="00D52CA5"/>
    <w:rsid w:val="00D55508"/>
    <w:rsid w:val="00D56664"/>
    <w:rsid w:val="00D56C9D"/>
    <w:rsid w:val="00D61E73"/>
    <w:rsid w:val="00D62226"/>
    <w:rsid w:val="00D634F8"/>
    <w:rsid w:val="00D6489D"/>
    <w:rsid w:val="00D66854"/>
    <w:rsid w:val="00D669D9"/>
    <w:rsid w:val="00D66A50"/>
    <w:rsid w:val="00D674BC"/>
    <w:rsid w:val="00D6785A"/>
    <w:rsid w:val="00D71648"/>
    <w:rsid w:val="00D71847"/>
    <w:rsid w:val="00D73079"/>
    <w:rsid w:val="00D750B9"/>
    <w:rsid w:val="00D75B9D"/>
    <w:rsid w:val="00D7610E"/>
    <w:rsid w:val="00D76FAF"/>
    <w:rsid w:val="00D7709F"/>
    <w:rsid w:val="00D81A9E"/>
    <w:rsid w:val="00D82C24"/>
    <w:rsid w:val="00D8326D"/>
    <w:rsid w:val="00D83277"/>
    <w:rsid w:val="00D852C6"/>
    <w:rsid w:val="00D8788E"/>
    <w:rsid w:val="00D901C3"/>
    <w:rsid w:val="00D90296"/>
    <w:rsid w:val="00D9106D"/>
    <w:rsid w:val="00D91383"/>
    <w:rsid w:val="00D917C5"/>
    <w:rsid w:val="00D9352B"/>
    <w:rsid w:val="00D93597"/>
    <w:rsid w:val="00D96CC9"/>
    <w:rsid w:val="00D976EE"/>
    <w:rsid w:val="00DA0402"/>
    <w:rsid w:val="00DA0843"/>
    <w:rsid w:val="00DA1863"/>
    <w:rsid w:val="00DA31E0"/>
    <w:rsid w:val="00DA42C5"/>
    <w:rsid w:val="00DA5829"/>
    <w:rsid w:val="00DA636A"/>
    <w:rsid w:val="00DB36E8"/>
    <w:rsid w:val="00DB42C5"/>
    <w:rsid w:val="00DB4CFB"/>
    <w:rsid w:val="00DB6C5D"/>
    <w:rsid w:val="00DB785E"/>
    <w:rsid w:val="00DB7940"/>
    <w:rsid w:val="00DC0B6D"/>
    <w:rsid w:val="00DC247C"/>
    <w:rsid w:val="00DC2ED9"/>
    <w:rsid w:val="00DC2F22"/>
    <w:rsid w:val="00DC3E8C"/>
    <w:rsid w:val="00DC521A"/>
    <w:rsid w:val="00DC61B5"/>
    <w:rsid w:val="00DC69EA"/>
    <w:rsid w:val="00DC7FA9"/>
    <w:rsid w:val="00DD0478"/>
    <w:rsid w:val="00DD07AF"/>
    <w:rsid w:val="00DD0F5C"/>
    <w:rsid w:val="00DD4102"/>
    <w:rsid w:val="00DD4F7C"/>
    <w:rsid w:val="00DD5002"/>
    <w:rsid w:val="00DD513D"/>
    <w:rsid w:val="00DD5F3D"/>
    <w:rsid w:val="00DD66F0"/>
    <w:rsid w:val="00DD6D7D"/>
    <w:rsid w:val="00DE0967"/>
    <w:rsid w:val="00DE2228"/>
    <w:rsid w:val="00DE3386"/>
    <w:rsid w:val="00DE381A"/>
    <w:rsid w:val="00DE53E0"/>
    <w:rsid w:val="00DE55CD"/>
    <w:rsid w:val="00DE5A0B"/>
    <w:rsid w:val="00DE797B"/>
    <w:rsid w:val="00DF188A"/>
    <w:rsid w:val="00DF3F56"/>
    <w:rsid w:val="00DF48FA"/>
    <w:rsid w:val="00DF6440"/>
    <w:rsid w:val="00DF7E35"/>
    <w:rsid w:val="00E00592"/>
    <w:rsid w:val="00E00630"/>
    <w:rsid w:val="00E01844"/>
    <w:rsid w:val="00E01BDB"/>
    <w:rsid w:val="00E039BA"/>
    <w:rsid w:val="00E04351"/>
    <w:rsid w:val="00E048E9"/>
    <w:rsid w:val="00E05631"/>
    <w:rsid w:val="00E05D6A"/>
    <w:rsid w:val="00E05D85"/>
    <w:rsid w:val="00E05E26"/>
    <w:rsid w:val="00E078BB"/>
    <w:rsid w:val="00E07C49"/>
    <w:rsid w:val="00E1019E"/>
    <w:rsid w:val="00E101F0"/>
    <w:rsid w:val="00E1152B"/>
    <w:rsid w:val="00E127C6"/>
    <w:rsid w:val="00E12F57"/>
    <w:rsid w:val="00E13742"/>
    <w:rsid w:val="00E16165"/>
    <w:rsid w:val="00E165C2"/>
    <w:rsid w:val="00E1709A"/>
    <w:rsid w:val="00E179CE"/>
    <w:rsid w:val="00E17B53"/>
    <w:rsid w:val="00E202A1"/>
    <w:rsid w:val="00E204EF"/>
    <w:rsid w:val="00E219BE"/>
    <w:rsid w:val="00E24EED"/>
    <w:rsid w:val="00E27C19"/>
    <w:rsid w:val="00E31C1F"/>
    <w:rsid w:val="00E31D57"/>
    <w:rsid w:val="00E34945"/>
    <w:rsid w:val="00E36FAB"/>
    <w:rsid w:val="00E4002F"/>
    <w:rsid w:val="00E40288"/>
    <w:rsid w:val="00E40896"/>
    <w:rsid w:val="00E40D85"/>
    <w:rsid w:val="00E41109"/>
    <w:rsid w:val="00E41C1C"/>
    <w:rsid w:val="00E41EAD"/>
    <w:rsid w:val="00E442F8"/>
    <w:rsid w:val="00E44D72"/>
    <w:rsid w:val="00E45253"/>
    <w:rsid w:val="00E50244"/>
    <w:rsid w:val="00E51D2B"/>
    <w:rsid w:val="00E52344"/>
    <w:rsid w:val="00E52578"/>
    <w:rsid w:val="00E531E5"/>
    <w:rsid w:val="00E53225"/>
    <w:rsid w:val="00E55088"/>
    <w:rsid w:val="00E557D7"/>
    <w:rsid w:val="00E5596D"/>
    <w:rsid w:val="00E55AAA"/>
    <w:rsid w:val="00E5733A"/>
    <w:rsid w:val="00E57C7E"/>
    <w:rsid w:val="00E600A4"/>
    <w:rsid w:val="00E604D5"/>
    <w:rsid w:val="00E618E5"/>
    <w:rsid w:val="00E62E5B"/>
    <w:rsid w:val="00E62EC0"/>
    <w:rsid w:val="00E62F00"/>
    <w:rsid w:val="00E63469"/>
    <w:rsid w:val="00E6489D"/>
    <w:rsid w:val="00E64F6D"/>
    <w:rsid w:val="00E6665F"/>
    <w:rsid w:val="00E66FCE"/>
    <w:rsid w:val="00E677C6"/>
    <w:rsid w:val="00E70716"/>
    <w:rsid w:val="00E70ACD"/>
    <w:rsid w:val="00E70BAF"/>
    <w:rsid w:val="00E720DF"/>
    <w:rsid w:val="00E72341"/>
    <w:rsid w:val="00E73348"/>
    <w:rsid w:val="00E74708"/>
    <w:rsid w:val="00E75980"/>
    <w:rsid w:val="00E75F4E"/>
    <w:rsid w:val="00E77382"/>
    <w:rsid w:val="00E80081"/>
    <w:rsid w:val="00E809C7"/>
    <w:rsid w:val="00E80CC5"/>
    <w:rsid w:val="00E8120C"/>
    <w:rsid w:val="00E81E59"/>
    <w:rsid w:val="00E81EFC"/>
    <w:rsid w:val="00E8225E"/>
    <w:rsid w:val="00E82269"/>
    <w:rsid w:val="00E83013"/>
    <w:rsid w:val="00E83AEE"/>
    <w:rsid w:val="00E83F03"/>
    <w:rsid w:val="00E847C6"/>
    <w:rsid w:val="00E859DF"/>
    <w:rsid w:val="00E85E8C"/>
    <w:rsid w:val="00E8689B"/>
    <w:rsid w:val="00E870E0"/>
    <w:rsid w:val="00E8727A"/>
    <w:rsid w:val="00E873E1"/>
    <w:rsid w:val="00E902F1"/>
    <w:rsid w:val="00E925C2"/>
    <w:rsid w:val="00E93917"/>
    <w:rsid w:val="00E941AA"/>
    <w:rsid w:val="00E975DA"/>
    <w:rsid w:val="00EA32C7"/>
    <w:rsid w:val="00EA4926"/>
    <w:rsid w:val="00EA56F7"/>
    <w:rsid w:val="00EA5B81"/>
    <w:rsid w:val="00EA5DAA"/>
    <w:rsid w:val="00EA61C6"/>
    <w:rsid w:val="00EA62CC"/>
    <w:rsid w:val="00EA72CD"/>
    <w:rsid w:val="00EA7B35"/>
    <w:rsid w:val="00EB13BF"/>
    <w:rsid w:val="00EB234C"/>
    <w:rsid w:val="00EB45F7"/>
    <w:rsid w:val="00EB5005"/>
    <w:rsid w:val="00EB55F9"/>
    <w:rsid w:val="00EB56EA"/>
    <w:rsid w:val="00EB61DD"/>
    <w:rsid w:val="00EB6CE0"/>
    <w:rsid w:val="00EC054D"/>
    <w:rsid w:val="00EC058A"/>
    <w:rsid w:val="00EC30E7"/>
    <w:rsid w:val="00EC33C4"/>
    <w:rsid w:val="00EC3E58"/>
    <w:rsid w:val="00EC4A24"/>
    <w:rsid w:val="00EC5008"/>
    <w:rsid w:val="00EC5F14"/>
    <w:rsid w:val="00EC6873"/>
    <w:rsid w:val="00EC6CB9"/>
    <w:rsid w:val="00ED0008"/>
    <w:rsid w:val="00ED2599"/>
    <w:rsid w:val="00ED4304"/>
    <w:rsid w:val="00ED5036"/>
    <w:rsid w:val="00ED530F"/>
    <w:rsid w:val="00ED5F2B"/>
    <w:rsid w:val="00ED6DE9"/>
    <w:rsid w:val="00EE071B"/>
    <w:rsid w:val="00EE10E2"/>
    <w:rsid w:val="00EE196A"/>
    <w:rsid w:val="00EE2007"/>
    <w:rsid w:val="00EE362F"/>
    <w:rsid w:val="00EE439F"/>
    <w:rsid w:val="00EE5495"/>
    <w:rsid w:val="00EE6C32"/>
    <w:rsid w:val="00EE7F3B"/>
    <w:rsid w:val="00EF10B7"/>
    <w:rsid w:val="00EF169B"/>
    <w:rsid w:val="00EF197E"/>
    <w:rsid w:val="00EF1EFD"/>
    <w:rsid w:val="00EF2ABD"/>
    <w:rsid w:val="00EF3E04"/>
    <w:rsid w:val="00EF6923"/>
    <w:rsid w:val="00EF69CD"/>
    <w:rsid w:val="00EF6E04"/>
    <w:rsid w:val="00EF6F7B"/>
    <w:rsid w:val="00F00217"/>
    <w:rsid w:val="00F006EC"/>
    <w:rsid w:val="00F0158E"/>
    <w:rsid w:val="00F021C0"/>
    <w:rsid w:val="00F02897"/>
    <w:rsid w:val="00F02C97"/>
    <w:rsid w:val="00F02D5D"/>
    <w:rsid w:val="00F06327"/>
    <w:rsid w:val="00F067E8"/>
    <w:rsid w:val="00F07611"/>
    <w:rsid w:val="00F078DB"/>
    <w:rsid w:val="00F11ACD"/>
    <w:rsid w:val="00F11EC9"/>
    <w:rsid w:val="00F129B0"/>
    <w:rsid w:val="00F156ED"/>
    <w:rsid w:val="00F1601A"/>
    <w:rsid w:val="00F16393"/>
    <w:rsid w:val="00F165EF"/>
    <w:rsid w:val="00F168F8"/>
    <w:rsid w:val="00F16D81"/>
    <w:rsid w:val="00F16F2E"/>
    <w:rsid w:val="00F17769"/>
    <w:rsid w:val="00F17C72"/>
    <w:rsid w:val="00F17E31"/>
    <w:rsid w:val="00F21242"/>
    <w:rsid w:val="00F22E72"/>
    <w:rsid w:val="00F23EED"/>
    <w:rsid w:val="00F24547"/>
    <w:rsid w:val="00F26F5F"/>
    <w:rsid w:val="00F27069"/>
    <w:rsid w:val="00F27BE0"/>
    <w:rsid w:val="00F30FC9"/>
    <w:rsid w:val="00F329F3"/>
    <w:rsid w:val="00F32BDB"/>
    <w:rsid w:val="00F3492A"/>
    <w:rsid w:val="00F34D94"/>
    <w:rsid w:val="00F36452"/>
    <w:rsid w:val="00F409A4"/>
    <w:rsid w:val="00F40F58"/>
    <w:rsid w:val="00F423E6"/>
    <w:rsid w:val="00F42C88"/>
    <w:rsid w:val="00F42E37"/>
    <w:rsid w:val="00F442DB"/>
    <w:rsid w:val="00F453EF"/>
    <w:rsid w:val="00F45704"/>
    <w:rsid w:val="00F47281"/>
    <w:rsid w:val="00F5369D"/>
    <w:rsid w:val="00F55958"/>
    <w:rsid w:val="00F561BC"/>
    <w:rsid w:val="00F57A90"/>
    <w:rsid w:val="00F6014B"/>
    <w:rsid w:val="00F606AA"/>
    <w:rsid w:val="00F608FB"/>
    <w:rsid w:val="00F60CA0"/>
    <w:rsid w:val="00F61C15"/>
    <w:rsid w:val="00F61F51"/>
    <w:rsid w:val="00F63BA5"/>
    <w:rsid w:val="00F64A59"/>
    <w:rsid w:val="00F6526A"/>
    <w:rsid w:val="00F66D6C"/>
    <w:rsid w:val="00F70D9B"/>
    <w:rsid w:val="00F71C72"/>
    <w:rsid w:val="00F71DC4"/>
    <w:rsid w:val="00F72281"/>
    <w:rsid w:val="00F734C9"/>
    <w:rsid w:val="00F73F6E"/>
    <w:rsid w:val="00F75362"/>
    <w:rsid w:val="00F75679"/>
    <w:rsid w:val="00F774DD"/>
    <w:rsid w:val="00F77783"/>
    <w:rsid w:val="00F82DB8"/>
    <w:rsid w:val="00F82E24"/>
    <w:rsid w:val="00F83323"/>
    <w:rsid w:val="00F83FAB"/>
    <w:rsid w:val="00F86F25"/>
    <w:rsid w:val="00F8766F"/>
    <w:rsid w:val="00F9087A"/>
    <w:rsid w:val="00F90AC1"/>
    <w:rsid w:val="00F947AB"/>
    <w:rsid w:val="00F95024"/>
    <w:rsid w:val="00F95C4D"/>
    <w:rsid w:val="00FA08CA"/>
    <w:rsid w:val="00FA0B68"/>
    <w:rsid w:val="00FA0F32"/>
    <w:rsid w:val="00FA1ED7"/>
    <w:rsid w:val="00FA31FB"/>
    <w:rsid w:val="00FA36F0"/>
    <w:rsid w:val="00FA4801"/>
    <w:rsid w:val="00FA4F1D"/>
    <w:rsid w:val="00FA54F3"/>
    <w:rsid w:val="00FA6FBC"/>
    <w:rsid w:val="00FA7F08"/>
    <w:rsid w:val="00FB0054"/>
    <w:rsid w:val="00FB031D"/>
    <w:rsid w:val="00FB1ADF"/>
    <w:rsid w:val="00FB213A"/>
    <w:rsid w:val="00FB36BE"/>
    <w:rsid w:val="00FB4E3A"/>
    <w:rsid w:val="00FB5B4D"/>
    <w:rsid w:val="00FB731E"/>
    <w:rsid w:val="00FB7D29"/>
    <w:rsid w:val="00FC0BEC"/>
    <w:rsid w:val="00FC0FA0"/>
    <w:rsid w:val="00FC1032"/>
    <w:rsid w:val="00FC36AF"/>
    <w:rsid w:val="00FC5E77"/>
    <w:rsid w:val="00FC7909"/>
    <w:rsid w:val="00FD164B"/>
    <w:rsid w:val="00FD23F0"/>
    <w:rsid w:val="00FD25CF"/>
    <w:rsid w:val="00FD2C51"/>
    <w:rsid w:val="00FD724B"/>
    <w:rsid w:val="00FD7324"/>
    <w:rsid w:val="00FE09FC"/>
    <w:rsid w:val="00FE2115"/>
    <w:rsid w:val="00FE2C5C"/>
    <w:rsid w:val="00FE328E"/>
    <w:rsid w:val="00FE3410"/>
    <w:rsid w:val="00FE4DA8"/>
    <w:rsid w:val="00FE62D8"/>
    <w:rsid w:val="00FE70B3"/>
    <w:rsid w:val="00FE792A"/>
    <w:rsid w:val="00FF0C3F"/>
    <w:rsid w:val="00FF30DA"/>
    <w:rsid w:val="00FF6E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bcbcbc,#943634"/>
    </o:shapedefaults>
    <o:shapelayout v:ext="edit">
      <o:idmap v:ext="edit" data="1"/>
    </o:shapelayout>
  </w:shapeDefaults>
  <w:decimalSymbol w:val=","/>
  <w:listSeparator w:val=";"/>
  <w14:docId w14:val="5073B74A"/>
  <w14:defaultImageDpi w14:val="330"/>
  <w15:chartTrackingRefBased/>
  <w15:docId w15:val="{DB1598D4-111B-40DC-80C0-51001380D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2BE"/>
    <w:pPr>
      <w:spacing w:after="120" w:line="288" w:lineRule="auto"/>
      <w:jc w:val="both"/>
    </w:pPr>
    <w:rPr>
      <w:rFonts w:ascii="Century Gothic" w:hAnsi="Century Gothic"/>
      <w:szCs w:val="22"/>
      <w:lang w:eastAsia="en-US"/>
    </w:rPr>
  </w:style>
  <w:style w:type="paragraph" w:styleId="Titre1">
    <w:name w:val="heading 1"/>
    <w:basedOn w:val="Normal"/>
    <w:next w:val="Normal"/>
    <w:link w:val="Titre1Car"/>
    <w:qFormat/>
    <w:rsid w:val="00EF3E04"/>
    <w:pPr>
      <w:keepNext/>
      <w:numPr>
        <w:numId w:val="2"/>
      </w:numPr>
      <w:pBdr>
        <w:bottom w:val="single" w:sz="18" w:space="1" w:color="365F91"/>
      </w:pBdr>
      <w:spacing w:before="240" w:after="240" w:line="240" w:lineRule="auto"/>
      <w:ind w:left="425" w:hanging="425"/>
      <w:outlineLvl w:val="0"/>
    </w:pPr>
    <w:rPr>
      <w:rFonts w:ascii="Selawik" w:eastAsia="Times New Roman" w:hAnsi="Selawik"/>
      <w:b/>
      <w:bCs/>
      <w:caps/>
      <w:color w:val="2F5496" w:themeColor="accent5" w:themeShade="BF"/>
      <w:kern w:val="32"/>
      <w:sz w:val="27"/>
      <w:szCs w:val="27"/>
    </w:rPr>
  </w:style>
  <w:style w:type="paragraph" w:styleId="Titre2">
    <w:name w:val="heading 2"/>
    <w:basedOn w:val="Normal"/>
    <w:next w:val="Normal"/>
    <w:link w:val="Titre2Car"/>
    <w:qFormat/>
    <w:rsid w:val="00DA5829"/>
    <w:pPr>
      <w:keepNext/>
      <w:shd w:val="clear" w:color="auto" w:fill="548DD4"/>
      <w:spacing w:after="240" w:line="300" w:lineRule="auto"/>
      <w:outlineLvl w:val="1"/>
    </w:pPr>
    <w:rPr>
      <w:rFonts w:ascii="Selawik" w:hAnsi="Selawik" w:cs="Arial"/>
      <w:b/>
      <w:bCs/>
      <w:iCs/>
      <w:smallCaps/>
      <w:color w:val="FFFFFF"/>
      <w:sz w:val="26"/>
      <w:szCs w:val="26"/>
    </w:rPr>
  </w:style>
  <w:style w:type="paragraph" w:styleId="Titre3">
    <w:name w:val="heading 3"/>
    <w:basedOn w:val="Normal"/>
    <w:next w:val="Normal"/>
    <w:link w:val="Titre3Car"/>
    <w:qFormat/>
    <w:rsid w:val="00EB234C"/>
    <w:pPr>
      <w:numPr>
        <w:numId w:val="13"/>
      </w:numPr>
      <w:spacing w:before="240" w:line="300" w:lineRule="auto"/>
      <w:ind w:right="-1"/>
      <w:outlineLvl w:val="2"/>
    </w:pPr>
    <w:rPr>
      <w:rFonts w:ascii="Selawik" w:hAnsi="Selawik"/>
      <w:b/>
      <w:color w:val="0070C0"/>
      <w:sz w:val="24"/>
      <w:szCs w:val="21"/>
      <w:u w:val="single"/>
    </w:rPr>
  </w:style>
  <w:style w:type="paragraph" w:styleId="Titre4">
    <w:name w:val="heading 4"/>
    <w:basedOn w:val="Titre3"/>
    <w:next w:val="Normal"/>
    <w:link w:val="Titre4Car"/>
    <w:qFormat/>
    <w:rsid w:val="00F06327"/>
    <w:pPr>
      <w:numPr>
        <w:numId w:val="0"/>
      </w:numPr>
      <w:spacing w:before="120" w:after="40" w:line="240" w:lineRule="auto"/>
      <w:ind w:right="0"/>
      <w:outlineLvl w:val="3"/>
    </w:pPr>
    <w:rPr>
      <w:i/>
      <w:color w:val="002060"/>
      <w:u w:val="none"/>
    </w:rPr>
  </w:style>
  <w:style w:type="paragraph" w:styleId="Titre5">
    <w:name w:val="heading 5"/>
    <w:basedOn w:val="Normal"/>
    <w:next w:val="Normal"/>
    <w:link w:val="Titre5Car"/>
    <w:qFormat/>
    <w:rsid w:val="00353833"/>
    <w:pPr>
      <w:tabs>
        <w:tab w:val="left" w:pos="1985"/>
      </w:tabs>
      <w:spacing w:before="240" w:after="60" w:line="240" w:lineRule="auto"/>
      <w:ind w:left="2097" w:hanging="708"/>
      <w:outlineLvl w:val="4"/>
    </w:pPr>
    <w:rPr>
      <w:rFonts w:ascii="Times New Roman" w:eastAsia="Times New Roman" w:hAnsi="Times New Roman"/>
      <w:szCs w:val="20"/>
      <w:u w:val="wave"/>
      <w:lang w:eastAsia="fr-FR"/>
    </w:rPr>
  </w:style>
  <w:style w:type="paragraph" w:styleId="Titre6">
    <w:name w:val="heading 6"/>
    <w:basedOn w:val="Normal"/>
    <w:next w:val="Normal"/>
    <w:link w:val="Titre6Car"/>
    <w:qFormat/>
    <w:rsid w:val="00B97499"/>
    <w:pPr>
      <w:outlineLvl w:val="5"/>
    </w:pPr>
    <w:rPr>
      <w:rFonts w:ascii="Selawik" w:hAnsi="Selawik"/>
      <w:b/>
      <w:bCs/>
      <w:caps/>
      <w:color w:val="0070C0"/>
      <w:sz w:val="23"/>
      <w:szCs w:val="23"/>
      <w:u w:val="single"/>
    </w:rPr>
  </w:style>
  <w:style w:type="paragraph" w:styleId="Titre7">
    <w:name w:val="heading 7"/>
    <w:basedOn w:val="Normal"/>
    <w:next w:val="Normal"/>
    <w:link w:val="Titre7Car"/>
    <w:qFormat/>
    <w:rsid w:val="00353833"/>
    <w:pPr>
      <w:keepNext/>
      <w:tabs>
        <w:tab w:val="left" w:pos="213"/>
        <w:tab w:val="left" w:pos="851"/>
        <w:tab w:val="left" w:pos="1913"/>
        <w:tab w:val="left" w:pos="2197"/>
      </w:tabs>
      <w:spacing w:after="0" w:line="240" w:lineRule="auto"/>
      <w:ind w:left="3513" w:hanging="708"/>
      <w:jc w:val="left"/>
      <w:outlineLvl w:val="6"/>
    </w:pPr>
    <w:rPr>
      <w:rFonts w:ascii="Times New Roman" w:eastAsia="Times New Roman" w:hAnsi="Times New Roman"/>
      <w:sz w:val="24"/>
      <w:szCs w:val="20"/>
      <w:u w:val="single"/>
      <w:lang w:eastAsia="fr-FR"/>
    </w:rPr>
  </w:style>
  <w:style w:type="paragraph" w:styleId="Titre8">
    <w:name w:val="heading 8"/>
    <w:basedOn w:val="Normal"/>
    <w:next w:val="Normal"/>
    <w:link w:val="Titre8Car"/>
    <w:qFormat/>
    <w:rsid w:val="00353833"/>
    <w:pPr>
      <w:tabs>
        <w:tab w:val="left" w:pos="213"/>
        <w:tab w:val="left" w:pos="851"/>
        <w:tab w:val="left" w:pos="1913"/>
        <w:tab w:val="left" w:pos="2197"/>
      </w:tabs>
      <w:spacing w:before="240" w:after="60" w:line="240" w:lineRule="auto"/>
      <w:ind w:left="4221" w:hanging="708"/>
      <w:jc w:val="left"/>
      <w:outlineLvl w:val="7"/>
    </w:pPr>
    <w:rPr>
      <w:rFonts w:ascii="Arial" w:eastAsia="Times New Roman" w:hAnsi="Arial"/>
      <w:i/>
      <w:sz w:val="22"/>
      <w:szCs w:val="20"/>
      <w:lang w:eastAsia="fr-FR"/>
    </w:rPr>
  </w:style>
  <w:style w:type="paragraph" w:styleId="Titre9">
    <w:name w:val="heading 9"/>
    <w:basedOn w:val="Normal"/>
    <w:next w:val="Normal"/>
    <w:link w:val="Titre9Car"/>
    <w:qFormat/>
    <w:rsid w:val="00353833"/>
    <w:pPr>
      <w:tabs>
        <w:tab w:val="left" w:pos="213"/>
        <w:tab w:val="left" w:pos="851"/>
        <w:tab w:val="left" w:pos="1913"/>
        <w:tab w:val="left" w:pos="2197"/>
      </w:tabs>
      <w:spacing w:before="240" w:after="60" w:line="240" w:lineRule="auto"/>
      <w:ind w:left="4929" w:hanging="708"/>
      <w:jc w:val="left"/>
      <w:outlineLvl w:val="8"/>
    </w:pPr>
    <w:rPr>
      <w:rFonts w:ascii="Arial" w:eastAsia="Times New Roman" w:hAnsi="Arial"/>
      <w:b/>
      <w:i/>
      <w:sz w:val="1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link w:val="ExplorateurdedocumentsCar"/>
    <w:uiPriority w:val="99"/>
    <w:semiHidden/>
    <w:unhideWhenUsed/>
    <w:rsid w:val="00306F9D"/>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06F9D"/>
    <w:rPr>
      <w:rFonts w:ascii="Tahoma" w:hAnsi="Tahoma" w:cs="Tahoma"/>
      <w:sz w:val="16"/>
      <w:szCs w:val="16"/>
      <w:lang w:eastAsia="en-US"/>
    </w:rPr>
  </w:style>
  <w:style w:type="paragraph" w:styleId="Lgende">
    <w:name w:val="caption"/>
    <w:basedOn w:val="Normal"/>
    <w:next w:val="Normal"/>
    <w:uiPriority w:val="35"/>
    <w:qFormat/>
    <w:rsid w:val="00306F9D"/>
    <w:rPr>
      <w:b/>
      <w:bCs/>
      <w:szCs w:val="20"/>
    </w:rPr>
  </w:style>
  <w:style w:type="table" w:styleId="Grilledutableau">
    <w:name w:val="Table Grid"/>
    <w:basedOn w:val="TableauNormal"/>
    <w:uiPriority w:val="59"/>
    <w:rsid w:val="00F212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M1">
    <w:name w:val="toc 1"/>
    <w:basedOn w:val="Normal"/>
    <w:next w:val="Normal"/>
    <w:autoRedefine/>
    <w:uiPriority w:val="39"/>
    <w:unhideWhenUsed/>
    <w:qFormat/>
    <w:rsid w:val="00FF0C3F"/>
    <w:pPr>
      <w:tabs>
        <w:tab w:val="left" w:pos="851"/>
        <w:tab w:val="right" w:leader="dot" w:pos="9639"/>
      </w:tabs>
      <w:spacing w:after="0" w:line="240" w:lineRule="auto"/>
      <w:ind w:left="284" w:right="-2"/>
      <w:jc w:val="center"/>
    </w:pPr>
    <w:rPr>
      <w:rFonts w:ascii="Selawik" w:hAnsi="Selawik"/>
      <w:b/>
      <w:caps/>
      <w:noProof/>
      <w:color w:val="000000"/>
      <w:szCs w:val="20"/>
    </w:rPr>
  </w:style>
  <w:style w:type="character" w:styleId="Lienhypertexte">
    <w:name w:val="Hyperlink"/>
    <w:basedOn w:val="Policepardfaut"/>
    <w:uiPriority w:val="99"/>
    <w:unhideWhenUsed/>
    <w:rsid w:val="007C7E65"/>
    <w:rPr>
      <w:color w:val="0000FF"/>
      <w:u w:val="single"/>
    </w:rPr>
  </w:style>
  <w:style w:type="character" w:customStyle="1" w:styleId="Titre1Car">
    <w:name w:val="Titre 1 Car"/>
    <w:basedOn w:val="Policepardfaut"/>
    <w:link w:val="Titre1"/>
    <w:rsid w:val="00EF3E04"/>
    <w:rPr>
      <w:rFonts w:ascii="Selawik" w:eastAsia="Times New Roman" w:hAnsi="Selawik"/>
      <w:b/>
      <w:bCs/>
      <w:caps/>
      <w:color w:val="2F5496" w:themeColor="accent5" w:themeShade="BF"/>
      <w:kern w:val="32"/>
      <w:sz w:val="27"/>
      <w:szCs w:val="27"/>
      <w:lang w:eastAsia="en-US"/>
    </w:rPr>
  </w:style>
  <w:style w:type="paragraph" w:customStyle="1" w:styleId="Textepuces">
    <w:name w:val="Texte + puces"/>
    <w:basedOn w:val="Normal"/>
    <w:rsid w:val="00C06B8E"/>
    <w:pPr>
      <w:numPr>
        <w:numId w:val="1"/>
      </w:numPr>
      <w:spacing w:after="0" w:line="240" w:lineRule="auto"/>
    </w:pPr>
    <w:rPr>
      <w:rFonts w:eastAsia="Times New Roman" w:cs="Calibri"/>
      <w:color w:val="000000"/>
      <w:szCs w:val="20"/>
      <w:lang w:eastAsia="fr-FR"/>
    </w:rPr>
  </w:style>
  <w:style w:type="paragraph" w:customStyle="1" w:styleId="Texte">
    <w:name w:val="Texte"/>
    <w:basedOn w:val="Normal"/>
    <w:uiPriority w:val="99"/>
    <w:rsid w:val="00C64C3B"/>
    <w:pPr>
      <w:spacing w:after="0" w:line="240" w:lineRule="auto"/>
    </w:pPr>
    <w:rPr>
      <w:rFonts w:eastAsia="Times New Roman" w:cs="Calibri"/>
      <w:color w:val="000000"/>
      <w:szCs w:val="20"/>
      <w:lang w:eastAsia="fr-FR"/>
    </w:rPr>
  </w:style>
  <w:style w:type="paragraph" w:styleId="En-tte">
    <w:name w:val="header"/>
    <w:basedOn w:val="Normal"/>
    <w:link w:val="En-tteCar"/>
    <w:unhideWhenUsed/>
    <w:rsid w:val="009F0FF0"/>
    <w:pPr>
      <w:tabs>
        <w:tab w:val="center" w:pos="4536"/>
        <w:tab w:val="right" w:pos="9072"/>
      </w:tabs>
    </w:pPr>
  </w:style>
  <w:style w:type="character" w:customStyle="1" w:styleId="En-tteCar">
    <w:name w:val="En-tête Car"/>
    <w:basedOn w:val="Policepardfaut"/>
    <w:link w:val="En-tte"/>
    <w:rsid w:val="009F0FF0"/>
    <w:rPr>
      <w:sz w:val="22"/>
      <w:szCs w:val="22"/>
      <w:lang w:eastAsia="en-US"/>
    </w:rPr>
  </w:style>
  <w:style w:type="paragraph" w:styleId="Pieddepage">
    <w:name w:val="footer"/>
    <w:basedOn w:val="Normal"/>
    <w:link w:val="PieddepageCar"/>
    <w:unhideWhenUsed/>
    <w:rsid w:val="009F0FF0"/>
    <w:pPr>
      <w:tabs>
        <w:tab w:val="center" w:pos="4536"/>
        <w:tab w:val="right" w:pos="9072"/>
      </w:tabs>
    </w:pPr>
  </w:style>
  <w:style w:type="character" w:customStyle="1" w:styleId="PieddepageCar">
    <w:name w:val="Pied de page Car"/>
    <w:basedOn w:val="Policepardfaut"/>
    <w:link w:val="Pieddepage"/>
    <w:uiPriority w:val="99"/>
    <w:rsid w:val="009F0FF0"/>
    <w:rPr>
      <w:sz w:val="22"/>
      <w:szCs w:val="22"/>
      <w:lang w:eastAsia="en-US"/>
    </w:rPr>
  </w:style>
  <w:style w:type="paragraph" w:styleId="Textedebulles">
    <w:name w:val="Balloon Text"/>
    <w:basedOn w:val="Normal"/>
    <w:link w:val="TextedebullesCar"/>
    <w:semiHidden/>
    <w:unhideWhenUsed/>
    <w:rsid w:val="009F0F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0FF0"/>
    <w:rPr>
      <w:rFonts w:ascii="Tahoma" w:hAnsi="Tahoma" w:cs="Tahoma"/>
      <w:sz w:val="16"/>
      <w:szCs w:val="16"/>
      <w:lang w:eastAsia="en-US"/>
    </w:rPr>
  </w:style>
  <w:style w:type="paragraph" w:styleId="En-ttedetabledesmatires">
    <w:name w:val="TOC Heading"/>
    <w:basedOn w:val="Titre1"/>
    <w:next w:val="Normal"/>
    <w:uiPriority w:val="39"/>
    <w:qFormat/>
    <w:rsid w:val="000F24B8"/>
    <w:pPr>
      <w:keepLines/>
      <w:spacing w:before="480" w:after="0"/>
      <w:jc w:val="left"/>
      <w:outlineLvl w:val="9"/>
    </w:pPr>
    <w:rPr>
      <w:color w:val="365F91"/>
      <w:kern w:val="0"/>
      <w14:textFill>
        <w14:solidFill>
          <w14:srgbClr w14:val="365F91">
            <w14:lumMod w14:val="75000"/>
          </w14:srgbClr>
        </w14:solidFill>
      </w14:textFill>
    </w:rPr>
  </w:style>
  <w:style w:type="paragraph" w:styleId="TM2">
    <w:name w:val="toc 2"/>
    <w:basedOn w:val="Normal"/>
    <w:next w:val="Normal"/>
    <w:autoRedefine/>
    <w:uiPriority w:val="39"/>
    <w:unhideWhenUsed/>
    <w:qFormat/>
    <w:rsid w:val="00FF0C3F"/>
    <w:pPr>
      <w:tabs>
        <w:tab w:val="right" w:leader="dot" w:pos="9498"/>
      </w:tabs>
      <w:spacing w:before="120" w:line="240" w:lineRule="auto"/>
      <w:ind w:left="851" w:right="139"/>
    </w:pPr>
    <w:rPr>
      <w:rFonts w:eastAsia="Times New Roman"/>
      <w:noProof/>
      <w:color w:val="0070C0"/>
      <w:szCs w:val="20"/>
    </w:rPr>
  </w:style>
  <w:style w:type="paragraph" w:styleId="TM3">
    <w:name w:val="toc 3"/>
    <w:basedOn w:val="Normal"/>
    <w:next w:val="Normal"/>
    <w:autoRedefine/>
    <w:uiPriority w:val="39"/>
    <w:unhideWhenUsed/>
    <w:qFormat/>
    <w:rsid w:val="00A620D5"/>
    <w:pPr>
      <w:tabs>
        <w:tab w:val="left" w:pos="880"/>
        <w:tab w:val="right" w:leader="dot" w:pos="9628"/>
      </w:tabs>
      <w:spacing w:after="60"/>
      <w:ind w:left="440"/>
      <w:jc w:val="left"/>
    </w:pPr>
    <w:rPr>
      <w:rFonts w:eastAsia="Times New Roman"/>
    </w:rPr>
  </w:style>
  <w:style w:type="paragraph" w:customStyle="1" w:styleId="Paragraphedeliste1">
    <w:name w:val="Paragraphe de liste1"/>
    <w:basedOn w:val="Normal"/>
    <w:rsid w:val="002320DD"/>
    <w:pPr>
      <w:ind w:left="720"/>
      <w:jc w:val="left"/>
    </w:pPr>
    <w:rPr>
      <w:rFonts w:eastAsia="Times New Roman"/>
    </w:rPr>
  </w:style>
  <w:style w:type="table" w:styleId="Listemoyenne2-Accent5">
    <w:name w:val="Medium List 2 Accent 5"/>
    <w:basedOn w:val="TableauNormal"/>
    <w:uiPriority w:val="66"/>
    <w:rsid w:val="00F82DB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472C4"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Grillemoyenne3-Accent5">
    <w:name w:val="Medium Grid 3 Accent 5"/>
    <w:basedOn w:val="TableauNormal"/>
    <w:uiPriority w:val="69"/>
    <w:rsid w:val="00F82DB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apple-converted-space">
    <w:name w:val="apple-converted-space"/>
    <w:basedOn w:val="Policepardfaut"/>
    <w:rsid w:val="00A27229"/>
  </w:style>
  <w:style w:type="character" w:customStyle="1" w:styleId="apple-style-span">
    <w:name w:val="apple-style-span"/>
    <w:basedOn w:val="Policepardfaut"/>
    <w:rsid w:val="00A27229"/>
  </w:style>
  <w:style w:type="character" w:styleId="Numrodepage">
    <w:name w:val="page number"/>
    <w:basedOn w:val="Policepardfaut"/>
    <w:rsid w:val="000056D0"/>
  </w:style>
  <w:style w:type="paragraph" w:customStyle="1" w:styleId="paragraphe">
    <w:name w:val="paragraphe"/>
    <w:basedOn w:val="Normal"/>
    <w:rsid w:val="00987AB8"/>
    <w:pPr>
      <w:spacing w:before="120" w:line="240" w:lineRule="auto"/>
    </w:pPr>
    <w:rPr>
      <w:rFonts w:ascii="Arial Narrow" w:eastAsia="Times New Roman" w:hAnsi="Arial Narrow"/>
      <w:szCs w:val="20"/>
      <w:lang w:eastAsia="fr-FR"/>
    </w:rPr>
  </w:style>
  <w:style w:type="paragraph" w:customStyle="1" w:styleId="Liste1puces">
    <w:name w:val="Liste1puces"/>
    <w:basedOn w:val="Normal"/>
    <w:rsid w:val="00987AB8"/>
    <w:pPr>
      <w:numPr>
        <w:numId w:val="3"/>
      </w:numPr>
      <w:tabs>
        <w:tab w:val="clear" w:pos="1134"/>
        <w:tab w:val="num" w:pos="993"/>
      </w:tabs>
      <w:spacing w:after="0" w:line="240" w:lineRule="auto"/>
      <w:ind w:left="993" w:hanging="284"/>
    </w:pPr>
    <w:rPr>
      <w:rFonts w:ascii="Arial Narrow" w:eastAsia="Times New Roman" w:hAnsi="Arial Narrow"/>
      <w:szCs w:val="20"/>
      <w:lang w:eastAsia="fr-FR"/>
    </w:rPr>
  </w:style>
  <w:style w:type="paragraph" w:styleId="Notedebasdepage">
    <w:name w:val="footnote text"/>
    <w:basedOn w:val="Normal"/>
    <w:link w:val="NotedebasdepageCar"/>
    <w:unhideWhenUsed/>
    <w:rsid w:val="006A66C0"/>
    <w:pPr>
      <w:spacing w:after="0" w:line="240" w:lineRule="auto"/>
    </w:pPr>
    <w:rPr>
      <w:szCs w:val="20"/>
    </w:rPr>
  </w:style>
  <w:style w:type="character" w:customStyle="1" w:styleId="NotedebasdepageCar">
    <w:name w:val="Note de bas de page Car"/>
    <w:basedOn w:val="Policepardfaut"/>
    <w:link w:val="Notedebasdepage"/>
    <w:rsid w:val="006A66C0"/>
    <w:rPr>
      <w:rFonts w:ascii="Century Gothic" w:hAnsi="Century Gothic"/>
      <w:lang w:eastAsia="en-US"/>
    </w:rPr>
  </w:style>
  <w:style w:type="character" w:styleId="Appelnotedebasdep">
    <w:name w:val="footnote reference"/>
    <w:basedOn w:val="Policepardfaut"/>
    <w:unhideWhenUsed/>
    <w:rsid w:val="006A66C0"/>
    <w:rPr>
      <w:vertAlign w:val="superscript"/>
    </w:rPr>
  </w:style>
  <w:style w:type="paragraph" w:styleId="Paragraphedeliste">
    <w:name w:val="List Paragraph"/>
    <w:basedOn w:val="Normal"/>
    <w:uiPriority w:val="34"/>
    <w:qFormat/>
    <w:rsid w:val="002304D5"/>
    <w:pPr>
      <w:ind w:left="720"/>
      <w:contextualSpacing/>
    </w:pPr>
  </w:style>
  <w:style w:type="numbering" w:customStyle="1" w:styleId="Aucuneliste1">
    <w:name w:val="Aucune liste1"/>
    <w:next w:val="Aucuneliste"/>
    <w:uiPriority w:val="99"/>
    <w:semiHidden/>
    <w:unhideWhenUsed/>
    <w:rsid w:val="002D7B00"/>
  </w:style>
  <w:style w:type="character" w:customStyle="1" w:styleId="Titre2Car">
    <w:name w:val="Titre 2 Car"/>
    <w:basedOn w:val="Policepardfaut"/>
    <w:link w:val="Titre2"/>
    <w:uiPriority w:val="9"/>
    <w:rsid w:val="00DA5829"/>
    <w:rPr>
      <w:rFonts w:ascii="Selawik" w:hAnsi="Selawik" w:cs="Arial"/>
      <w:b/>
      <w:bCs/>
      <w:iCs/>
      <w:smallCaps/>
      <w:color w:val="FFFFFF"/>
      <w:sz w:val="26"/>
      <w:szCs w:val="26"/>
      <w:shd w:val="clear" w:color="auto" w:fill="548DD4"/>
      <w:lang w:eastAsia="en-US"/>
    </w:rPr>
  </w:style>
  <w:style w:type="numbering" w:customStyle="1" w:styleId="Aucuneliste11">
    <w:name w:val="Aucune liste11"/>
    <w:next w:val="Aucuneliste"/>
    <w:uiPriority w:val="99"/>
    <w:semiHidden/>
    <w:unhideWhenUsed/>
    <w:rsid w:val="002D7B00"/>
  </w:style>
  <w:style w:type="paragraph" w:styleId="Sansinterligne">
    <w:name w:val="No Spacing"/>
    <w:uiPriority w:val="1"/>
    <w:qFormat/>
    <w:rsid w:val="0051250C"/>
    <w:pPr>
      <w:jc w:val="both"/>
    </w:pPr>
    <w:rPr>
      <w:rFonts w:ascii="Century Gothic" w:hAnsi="Century Gothic"/>
      <w:szCs w:val="22"/>
      <w:lang w:eastAsia="en-US"/>
    </w:rPr>
  </w:style>
  <w:style w:type="character" w:customStyle="1" w:styleId="Titre3Car">
    <w:name w:val="Titre 3 Car"/>
    <w:basedOn w:val="Policepardfaut"/>
    <w:link w:val="Titre3"/>
    <w:rsid w:val="00EB234C"/>
    <w:rPr>
      <w:rFonts w:ascii="Selawik" w:hAnsi="Selawik"/>
      <w:b/>
      <w:color w:val="0070C0"/>
      <w:sz w:val="24"/>
      <w:szCs w:val="21"/>
      <w:u w:val="single"/>
      <w:lang w:eastAsia="en-US"/>
    </w:rPr>
  </w:style>
  <w:style w:type="character" w:customStyle="1" w:styleId="Titre4Car">
    <w:name w:val="Titre 4 Car"/>
    <w:basedOn w:val="Policepardfaut"/>
    <w:link w:val="Titre4"/>
    <w:rsid w:val="00F06327"/>
    <w:rPr>
      <w:rFonts w:ascii="Selawik" w:hAnsi="Selawik"/>
      <w:b/>
      <w:i/>
      <w:color w:val="002060"/>
      <w:sz w:val="24"/>
      <w:szCs w:val="21"/>
      <w:lang w:eastAsia="en-US"/>
    </w:rPr>
  </w:style>
  <w:style w:type="character" w:customStyle="1" w:styleId="Titre5Car">
    <w:name w:val="Titre 5 Car"/>
    <w:basedOn w:val="Policepardfaut"/>
    <w:link w:val="Titre5"/>
    <w:rsid w:val="00353833"/>
    <w:rPr>
      <w:rFonts w:ascii="Times New Roman" w:eastAsia="Times New Roman" w:hAnsi="Times New Roman"/>
      <w:u w:val="wave"/>
    </w:rPr>
  </w:style>
  <w:style w:type="character" w:customStyle="1" w:styleId="Titre6Car">
    <w:name w:val="Titre 6 Car"/>
    <w:basedOn w:val="Policepardfaut"/>
    <w:link w:val="Titre6"/>
    <w:rsid w:val="00B97499"/>
    <w:rPr>
      <w:rFonts w:ascii="Selawik" w:hAnsi="Selawik"/>
      <w:b/>
      <w:bCs/>
      <w:caps/>
      <w:color w:val="0070C0"/>
      <w:sz w:val="23"/>
      <w:szCs w:val="23"/>
      <w:u w:val="single"/>
      <w:lang w:eastAsia="en-US"/>
    </w:rPr>
  </w:style>
  <w:style w:type="character" w:customStyle="1" w:styleId="Titre7Car">
    <w:name w:val="Titre 7 Car"/>
    <w:basedOn w:val="Policepardfaut"/>
    <w:link w:val="Titre7"/>
    <w:rsid w:val="00353833"/>
    <w:rPr>
      <w:rFonts w:ascii="Times New Roman" w:eastAsia="Times New Roman" w:hAnsi="Times New Roman"/>
      <w:sz w:val="24"/>
      <w:u w:val="single"/>
    </w:rPr>
  </w:style>
  <w:style w:type="character" w:customStyle="1" w:styleId="Titre8Car">
    <w:name w:val="Titre 8 Car"/>
    <w:basedOn w:val="Policepardfaut"/>
    <w:link w:val="Titre8"/>
    <w:rsid w:val="00353833"/>
    <w:rPr>
      <w:rFonts w:ascii="Arial" w:eastAsia="Times New Roman" w:hAnsi="Arial"/>
      <w:i/>
      <w:sz w:val="22"/>
    </w:rPr>
  </w:style>
  <w:style w:type="character" w:customStyle="1" w:styleId="Titre9Car">
    <w:name w:val="Titre 9 Car"/>
    <w:basedOn w:val="Policepardfaut"/>
    <w:link w:val="Titre9"/>
    <w:rsid w:val="00353833"/>
    <w:rPr>
      <w:rFonts w:ascii="Arial" w:eastAsia="Times New Roman" w:hAnsi="Arial"/>
      <w:b/>
      <w:i/>
      <w:sz w:val="18"/>
    </w:rPr>
  </w:style>
  <w:style w:type="paragraph" w:styleId="Corpsdetexte2">
    <w:name w:val="Body Text 2"/>
    <w:basedOn w:val="Normal"/>
    <w:link w:val="Corpsdetexte2Car"/>
    <w:rsid w:val="00353833"/>
    <w:pPr>
      <w:spacing w:after="0" w:line="240" w:lineRule="auto"/>
      <w:jc w:val="left"/>
    </w:pPr>
    <w:rPr>
      <w:rFonts w:ascii="Times New Roman" w:eastAsia="Times New Roman" w:hAnsi="Times New Roman"/>
      <w:sz w:val="24"/>
      <w:szCs w:val="20"/>
      <w:lang w:eastAsia="fr-FR"/>
    </w:rPr>
  </w:style>
  <w:style w:type="character" w:customStyle="1" w:styleId="Corpsdetexte2Car">
    <w:name w:val="Corps de texte 2 Car"/>
    <w:basedOn w:val="Policepardfaut"/>
    <w:link w:val="Corpsdetexte2"/>
    <w:semiHidden/>
    <w:rsid w:val="00353833"/>
    <w:rPr>
      <w:rFonts w:ascii="Times New Roman" w:eastAsia="Times New Roman" w:hAnsi="Times New Roman"/>
      <w:sz w:val="24"/>
    </w:rPr>
  </w:style>
  <w:style w:type="table" w:customStyle="1" w:styleId="Grilledutableau1">
    <w:name w:val="Grille du tableau1"/>
    <w:basedOn w:val="TableauNormal"/>
    <w:next w:val="Grilledutableau"/>
    <w:uiPriority w:val="59"/>
    <w:rsid w:val="008E29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nonrsolue1">
    <w:name w:val="Mention non résolue1"/>
    <w:basedOn w:val="Policepardfaut"/>
    <w:uiPriority w:val="99"/>
    <w:semiHidden/>
    <w:unhideWhenUsed/>
    <w:rsid w:val="00AE6057"/>
    <w:rPr>
      <w:color w:val="605E5C"/>
      <w:shd w:val="clear" w:color="auto" w:fill="E1DFDD"/>
    </w:rPr>
  </w:style>
  <w:style w:type="paragraph" w:styleId="TM4">
    <w:name w:val="toc 4"/>
    <w:basedOn w:val="Normal"/>
    <w:next w:val="Normal"/>
    <w:autoRedefine/>
    <w:uiPriority w:val="39"/>
    <w:unhideWhenUsed/>
    <w:rsid w:val="00EC30E7"/>
    <w:pPr>
      <w:spacing w:after="100" w:line="259" w:lineRule="auto"/>
      <w:ind w:left="660"/>
      <w:jc w:val="left"/>
    </w:pPr>
    <w:rPr>
      <w:rFonts w:asciiTheme="minorHAnsi" w:eastAsiaTheme="minorEastAsia" w:hAnsiTheme="minorHAnsi" w:cstheme="minorBidi"/>
      <w:sz w:val="22"/>
      <w:lang w:eastAsia="fr-FR"/>
    </w:rPr>
  </w:style>
  <w:style w:type="paragraph" w:styleId="TM5">
    <w:name w:val="toc 5"/>
    <w:basedOn w:val="Normal"/>
    <w:next w:val="Normal"/>
    <w:autoRedefine/>
    <w:unhideWhenUsed/>
    <w:rsid w:val="00EC30E7"/>
    <w:pPr>
      <w:spacing w:after="100" w:line="259" w:lineRule="auto"/>
      <w:ind w:left="880"/>
      <w:jc w:val="left"/>
    </w:pPr>
    <w:rPr>
      <w:rFonts w:asciiTheme="minorHAnsi" w:eastAsiaTheme="minorEastAsia" w:hAnsiTheme="minorHAnsi" w:cstheme="minorBidi"/>
      <w:sz w:val="22"/>
      <w:lang w:eastAsia="fr-FR"/>
    </w:rPr>
  </w:style>
  <w:style w:type="paragraph" w:styleId="TM6">
    <w:name w:val="toc 6"/>
    <w:basedOn w:val="Normal"/>
    <w:next w:val="Normal"/>
    <w:autoRedefine/>
    <w:uiPriority w:val="39"/>
    <w:unhideWhenUsed/>
    <w:rsid w:val="00EC30E7"/>
    <w:pPr>
      <w:spacing w:after="100" w:line="259" w:lineRule="auto"/>
      <w:ind w:left="1100"/>
      <w:jc w:val="left"/>
    </w:pPr>
    <w:rPr>
      <w:rFonts w:asciiTheme="minorHAnsi" w:eastAsiaTheme="minorEastAsia" w:hAnsiTheme="minorHAnsi" w:cstheme="minorBidi"/>
      <w:sz w:val="22"/>
      <w:lang w:eastAsia="fr-FR"/>
    </w:rPr>
  </w:style>
  <w:style w:type="paragraph" w:styleId="TM7">
    <w:name w:val="toc 7"/>
    <w:basedOn w:val="Normal"/>
    <w:next w:val="Normal"/>
    <w:autoRedefine/>
    <w:uiPriority w:val="39"/>
    <w:unhideWhenUsed/>
    <w:rsid w:val="00EC30E7"/>
    <w:pPr>
      <w:spacing w:after="100" w:line="259" w:lineRule="auto"/>
      <w:ind w:left="1320"/>
      <w:jc w:val="left"/>
    </w:pPr>
    <w:rPr>
      <w:rFonts w:asciiTheme="minorHAnsi" w:eastAsiaTheme="minorEastAsia" w:hAnsiTheme="minorHAnsi" w:cstheme="minorBidi"/>
      <w:sz w:val="22"/>
      <w:lang w:eastAsia="fr-FR"/>
    </w:rPr>
  </w:style>
  <w:style w:type="paragraph" w:styleId="TM8">
    <w:name w:val="toc 8"/>
    <w:basedOn w:val="Normal"/>
    <w:next w:val="Normal"/>
    <w:autoRedefine/>
    <w:uiPriority w:val="39"/>
    <w:unhideWhenUsed/>
    <w:rsid w:val="00EC30E7"/>
    <w:pPr>
      <w:spacing w:after="100" w:line="259" w:lineRule="auto"/>
      <w:ind w:left="1540"/>
      <w:jc w:val="left"/>
    </w:pPr>
    <w:rPr>
      <w:rFonts w:asciiTheme="minorHAnsi" w:eastAsiaTheme="minorEastAsia" w:hAnsiTheme="minorHAnsi" w:cstheme="minorBidi"/>
      <w:sz w:val="22"/>
      <w:lang w:eastAsia="fr-FR"/>
    </w:rPr>
  </w:style>
  <w:style w:type="paragraph" w:styleId="TM9">
    <w:name w:val="toc 9"/>
    <w:basedOn w:val="Normal"/>
    <w:next w:val="Normal"/>
    <w:autoRedefine/>
    <w:uiPriority w:val="39"/>
    <w:unhideWhenUsed/>
    <w:rsid w:val="00EC30E7"/>
    <w:pPr>
      <w:spacing w:after="100" w:line="259" w:lineRule="auto"/>
      <w:ind w:left="1760"/>
      <w:jc w:val="left"/>
    </w:pPr>
    <w:rPr>
      <w:rFonts w:asciiTheme="minorHAnsi" w:eastAsiaTheme="minorEastAsia" w:hAnsiTheme="minorHAnsi" w:cstheme="minorBidi"/>
      <w:sz w:val="22"/>
      <w:lang w:eastAsia="fr-FR"/>
    </w:rPr>
  </w:style>
  <w:style w:type="paragraph" w:styleId="Corpsdetexte">
    <w:name w:val="Body Text"/>
    <w:basedOn w:val="Normal"/>
    <w:link w:val="CorpsdetexteCar"/>
    <w:unhideWhenUsed/>
    <w:rsid w:val="00A925D0"/>
  </w:style>
  <w:style w:type="character" w:customStyle="1" w:styleId="CorpsdetexteCar">
    <w:name w:val="Corps de texte Car"/>
    <w:basedOn w:val="Policepardfaut"/>
    <w:link w:val="Corpsdetexte"/>
    <w:uiPriority w:val="99"/>
    <w:semiHidden/>
    <w:rsid w:val="00A925D0"/>
    <w:rPr>
      <w:rFonts w:ascii="Century Gothic" w:hAnsi="Century Gothic"/>
      <w:szCs w:val="22"/>
      <w:lang w:eastAsia="en-US"/>
    </w:rPr>
  </w:style>
  <w:style w:type="table" w:customStyle="1" w:styleId="Grilledutableau2">
    <w:name w:val="Grille du tableau2"/>
    <w:basedOn w:val="TableauNormal"/>
    <w:next w:val="Grilledutableau"/>
    <w:uiPriority w:val="59"/>
    <w:rsid w:val="00AC35DE"/>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ev">
    <w:name w:val="Strong"/>
    <w:basedOn w:val="Policepardfaut"/>
    <w:uiPriority w:val="22"/>
    <w:qFormat/>
    <w:rsid w:val="002C4215"/>
    <w:rPr>
      <w:b/>
      <w:bCs/>
    </w:rPr>
  </w:style>
  <w:style w:type="paragraph" w:customStyle="1" w:styleId="Soustitreavecpuce">
    <w:name w:val="Sous titre avec puce"/>
    <w:basedOn w:val="Normal"/>
    <w:autoRedefine/>
    <w:rsid w:val="00253473"/>
    <w:pPr>
      <w:numPr>
        <w:numId w:val="19"/>
      </w:numPr>
      <w:pBdr>
        <w:bottom w:val="single" w:sz="4" w:space="1" w:color="auto"/>
      </w:pBdr>
      <w:spacing w:after="0" w:line="240" w:lineRule="auto"/>
      <w:jc w:val="left"/>
    </w:pPr>
    <w:rPr>
      <w:rFonts w:ascii="Calibri" w:eastAsia="Times New Roman" w:hAnsi="Calibri"/>
      <w:b/>
      <w:szCs w:val="24"/>
      <w:lang w:eastAsia="fr-FR"/>
    </w:rPr>
  </w:style>
  <w:style w:type="paragraph" w:styleId="Commentaire">
    <w:name w:val="annotation text"/>
    <w:basedOn w:val="Normal"/>
    <w:link w:val="CommentaireCar"/>
    <w:semiHidden/>
    <w:unhideWhenUsed/>
    <w:rsid w:val="002268C9"/>
    <w:pPr>
      <w:spacing w:line="240" w:lineRule="auto"/>
    </w:pPr>
    <w:rPr>
      <w:szCs w:val="20"/>
    </w:rPr>
  </w:style>
  <w:style w:type="character" w:customStyle="1" w:styleId="CommentaireCar">
    <w:name w:val="Commentaire Car"/>
    <w:basedOn w:val="Policepardfaut"/>
    <w:link w:val="Commentaire"/>
    <w:uiPriority w:val="99"/>
    <w:semiHidden/>
    <w:rsid w:val="002268C9"/>
    <w:rPr>
      <w:rFonts w:ascii="Century Gothic" w:hAnsi="Century Gothic"/>
      <w:lang w:eastAsia="en-US"/>
    </w:rPr>
  </w:style>
  <w:style w:type="character" w:styleId="Marquedecommentaire">
    <w:name w:val="annotation reference"/>
    <w:basedOn w:val="Policepardfaut"/>
    <w:uiPriority w:val="99"/>
    <w:semiHidden/>
    <w:rsid w:val="002268C9"/>
    <w:rPr>
      <w:sz w:val="16"/>
      <w:szCs w:val="16"/>
    </w:rPr>
  </w:style>
  <w:style w:type="character" w:customStyle="1" w:styleId="Mentionnonrsolue2">
    <w:name w:val="Mention non résolue2"/>
    <w:basedOn w:val="Policepardfaut"/>
    <w:uiPriority w:val="99"/>
    <w:semiHidden/>
    <w:unhideWhenUsed/>
    <w:rsid w:val="00061152"/>
    <w:rPr>
      <w:color w:val="605E5C"/>
      <w:shd w:val="clear" w:color="auto" w:fill="E1DFDD"/>
    </w:rPr>
  </w:style>
  <w:style w:type="paragraph" w:styleId="Objetducommentaire">
    <w:name w:val="annotation subject"/>
    <w:basedOn w:val="Commentaire"/>
    <w:next w:val="Commentaire"/>
    <w:link w:val="ObjetducommentaireCar"/>
    <w:semiHidden/>
    <w:unhideWhenUsed/>
    <w:rsid w:val="00C8417E"/>
    <w:rPr>
      <w:b/>
      <w:bCs/>
    </w:rPr>
  </w:style>
  <w:style w:type="character" w:customStyle="1" w:styleId="ObjetducommentaireCar">
    <w:name w:val="Objet du commentaire Car"/>
    <w:basedOn w:val="CommentaireCar"/>
    <w:link w:val="Objetducommentaire"/>
    <w:uiPriority w:val="99"/>
    <w:semiHidden/>
    <w:rsid w:val="00C8417E"/>
    <w:rPr>
      <w:rFonts w:ascii="Century Gothic" w:hAnsi="Century Gothic"/>
      <w:b/>
      <w:bCs/>
      <w:lang w:eastAsia="en-US"/>
    </w:rPr>
  </w:style>
  <w:style w:type="paragraph" w:styleId="Rvision">
    <w:name w:val="Revision"/>
    <w:hidden/>
    <w:uiPriority w:val="99"/>
    <w:semiHidden/>
    <w:rsid w:val="00C8417E"/>
    <w:rPr>
      <w:rFonts w:ascii="Century Gothic" w:hAnsi="Century Gothic"/>
      <w:szCs w:val="22"/>
      <w:lang w:eastAsia="en-US"/>
    </w:rPr>
  </w:style>
  <w:style w:type="numbering" w:customStyle="1" w:styleId="Aucuneliste2">
    <w:name w:val="Aucune liste2"/>
    <w:next w:val="Aucuneliste"/>
    <w:uiPriority w:val="99"/>
    <w:semiHidden/>
    <w:unhideWhenUsed/>
    <w:rsid w:val="00BB75B8"/>
  </w:style>
  <w:style w:type="paragraph" w:styleId="Retraitcorpsdetexte">
    <w:name w:val="Body Text Indent"/>
    <w:basedOn w:val="Normal"/>
    <w:link w:val="RetraitcorpsdetexteCar"/>
    <w:rsid w:val="00BB75B8"/>
    <w:pPr>
      <w:spacing w:after="0" w:line="276" w:lineRule="auto"/>
      <w:ind w:firstLine="708"/>
    </w:pPr>
    <w:rPr>
      <w:rFonts w:eastAsia="Times New Roman"/>
      <w:sz w:val="22"/>
      <w:szCs w:val="24"/>
      <w:lang w:eastAsia="fr-FR"/>
    </w:rPr>
  </w:style>
  <w:style w:type="character" w:customStyle="1" w:styleId="RetraitcorpsdetexteCar">
    <w:name w:val="Retrait corps de texte Car"/>
    <w:basedOn w:val="Policepardfaut"/>
    <w:link w:val="Retraitcorpsdetexte"/>
    <w:rsid w:val="00BB75B8"/>
    <w:rPr>
      <w:rFonts w:ascii="Century Gothic" w:eastAsia="Times New Roman" w:hAnsi="Century Gothic"/>
      <w:sz w:val="22"/>
      <w:szCs w:val="24"/>
    </w:rPr>
  </w:style>
  <w:style w:type="paragraph" w:styleId="Retraitcorpsdetexte2">
    <w:name w:val="Body Text Indent 2"/>
    <w:basedOn w:val="Normal"/>
    <w:link w:val="Retraitcorpsdetexte2Car"/>
    <w:rsid w:val="00BB75B8"/>
    <w:pPr>
      <w:spacing w:after="0" w:line="276" w:lineRule="auto"/>
      <w:ind w:left="709"/>
    </w:pPr>
    <w:rPr>
      <w:rFonts w:ascii="Berlin Sans FB" w:eastAsia="Times New Roman" w:hAnsi="Berlin Sans FB"/>
      <w:sz w:val="22"/>
      <w:szCs w:val="24"/>
      <w:lang w:eastAsia="fr-FR"/>
    </w:rPr>
  </w:style>
  <w:style w:type="character" w:customStyle="1" w:styleId="Retraitcorpsdetexte2Car">
    <w:name w:val="Retrait corps de texte 2 Car"/>
    <w:basedOn w:val="Policepardfaut"/>
    <w:link w:val="Retraitcorpsdetexte2"/>
    <w:rsid w:val="00BB75B8"/>
    <w:rPr>
      <w:rFonts w:ascii="Berlin Sans FB" w:eastAsia="Times New Roman" w:hAnsi="Berlin Sans FB"/>
      <w:sz w:val="22"/>
      <w:szCs w:val="24"/>
    </w:rPr>
  </w:style>
  <w:style w:type="paragraph" w:styleId="Retraitcorpsdetexte3">
    <w:name w:val="Body Text Indent 3"/>
    <w:basedOn w:val="Normal"/>
    <w:link w:val="Retraitcorpsdetexte3Car"/>
    <w:rsid w:val="00BB75B8"/>
    <w:pPr>
      <w:spacing w:after="0" w:line="276" w:lineRule="auto"/>
      <w:ind w:left="1410"/>
    </w:pPr>
    <w:rPr>
      <w:rFonts w:ascii="Century Schoolbook" w:eastAsia="Times New Roman" w:hAnsi="Century Schoolbook" w:cs="Courier New"/>
      <w:sz w:val="22"/>
      <w:szCs w:val="24"/>
      <w:lang w:eastAsia="fr-FR"/>
    </w:rPr>
  </w:style>
  <w:style w:type="character" w:customStyle="1" w:styleId="Retraitcorpsdetexte3Car">
    <w:name w:val="Retrait corps de texte 3 Car"/>
    <w:basedOn w:val="Policepardfaut"/>
    <w:link w:val="Retraitcorpsdetexte3"/>
    <w:rsid w:val="00BB75B8"/>
    <w:rPr>
      <w:rFonts w:ascii="Century Schoolbook" w:eastAsia="Times New Roman" w:hAnsi="Century Schoolbook" w:cs="Courier New"/>
      <w:sz w:val="22"/>
      <w:szCs w:val="24"/>
    </w:rPr>
  </w:style>
  <w:style w:type="paragraph" w:styleId="Corpsdetexte3">
    <w:name w:val="Body Text 3"/>
    <w:basedOn w:val="Normal"/>
    <w:link w:val="Corpsdetexte3Car"/>
    <w:rsid w:val="00BB75B8"/>
    <w:pPr>
      <w:spacing w:after="0" w:line="276" w:lineRule="auto"/>
    </w:pPr>
    <w:rPr>
      <w:rFonts w:ascii="Century Schoolbook" w:eastAsia="Times New Roman" w:hAnsi="Century Schoolbook" w:cs="Courier New"/>
      <w:b/>
      <w:bCs/>
      <w:sz w:val="22"/>
      <w:szCs w:val="24"/>
      <w:u w:val="single"/>
      <w:lang w:eastAsia="fr-FR"/>
    </w:rPr>
  </w:style>
  <w:style w:type="character" w:customStyle="1" w:styleId="Corpsdetexte3Car">
    <w:name w:val="Corps de texte 3 Car"/>
    <w:basedOn w:val="Policepardfaut"/>
    <w:link w:val="Corpsdetexte3"/>
    <w:rsid w:val="00BB75B8"/>
    <w:rPr>
      <w:rFonts w:ascii="Century Schoolbook" w:eastAsia="Times New Roman" w:hAnsi="Century Schoolbook" w:cs="Courier New"/>
      <w:b/>
      <w:bCs/>
      <w:sz w:val="22"/>
      <w:szCs w:val="24"/>
      <w:u w:val="single"/>
    </w:rPr>
  </w:style>
  <w:style w:type="paragraph" w:customStyle="1" w:styleId="1">
    <w:name w:val="1"/>
    <w:basedOn w:val="Normal"/>
    <w:rsid w:val="00BB75B8"/>
    <w:pPr>
      <w:spacing w:after="0" w:line="276" w:lineRule="auto"/>
      <w:ind w:left="560" w:hanging="540"/>
    </w:pPr>
    <w:rPr>
      <w:rFonts w:ascii="Times" w:eastAsia="Times New Roman" w:hAnsi="Times"/>
      <w:sz w:val="22"/>
      <w:szCs w:val="24"/>
      <w:lang w:eastAsia="fr-FR"/>
    </w:rPr>
  </w:style>
  <w:style w:type="paragraph" w:styleId="Normalcentr">
    <w:name w:val="Block Text"/>
    <w:basedOn w:val="Normal"/>
    <w:rsid w:val="00BB75B8"/>
    <w:pPr>
      <w:tabs>
        <w:tab w:val="left" w:pos="0"/>
      </w:tabs>
      <w:spacing w:after="0" w:line="276" w:lineRule="auto"/>
      <w:ind w:left="1360" w:right="48" w:hanging="260"/>
    </w:pPr>
    <w:rPr>
      <w:rFonts w:ascii="Avant Garde" w:eastAsia="Times New Roman" w:hAnsi="Avant Garde"/>
      <w:sz w:val="22"/>
      <w:lang w:eastAsia="fr-FR"/>
    </w:rPr>
  </w:style>
  <w:style w:type="paragraph" w:styleId="Listepuces">
    <w:name w:val="List Bullet"/>
    <w:basedOn w:val="Normal"/>
    <w:autoRedefine/>
    <w:rsid w:val="00BB75B8"/>
    <w:pPr>
      <w:widowControl w:val="0"/>
      <w:numPr>
        <w:numId w:val="20"/>
      </w:numPr>
      <w:spacing w:after="0" w:line="276" w:lineRule="auto"/>
    </w:pPr>
    <w:rPr>
      <w:rFonts w:eastAsia="Times New Roman"/>
      <w:szCs w:val="20"/>
      <w:lang w:eastAsia="fr-FR"/>
    </w:rPr>
  </w:style>
  <w:style w:type="paragraph" w:styleId="Listepuces2">
    <w:name w:val="List Bullet 2"/>
    <w:basedOn w:val="Normal"/>
    <w:autoRedefine/>
    <w:rsid w:val="00BB75B8"/>
    <w:pPr>
      <w:widowControl w:val="0"/>
      <w:numPr>
        <w:numId w:val="21"/>
      </w:numPr>
      <w:spacing w:after="0" w:line="276" w:lineRule="auto"/>
    </w:pPr>
    <w:rPr>
      <w:rFonts w:eastAsia="Times New Roman"/>
      <w:szCs w:val="20"/>
      <w:lang w:eastAsia="fr-FR"/>
    </w:rPr>
  </w:style>
  <w:style w:type="paragraph" w:styleId="Listepuces3">
    <w:name w:val="List Bullet 3"/>
    <w:basedOn w:val="Normal"/>
    <w:autoRedefine/>
    <w:rsid w:val="00BB75B8"/>
    <w:pPr>
      <w:widowControl w:val="0"/>
      <w:numPr>
        <w:numId w:val="22"/>
      </w:numPr>
      <w:spacing w:after="0" w:line="276" w:lineRule="auto"/>
    </w:pPr>
    <w:rPr>
      <w:rFonts w:eastAsia="Times New Roman"/>
      <w:szCs w:val="20"/>
      <w:lang w:eastAsia="fr-FR"/>
    </w:rPr>
  </w:style>
  <w:style w:type="paragraph" w:styleId="Listepuces4">
    <w:name w:val="List Bullet 4"/>
    <w:basedOn w:val="Normal"/>
    <w:autoRedefine/>
    <w:rsid w:val="00BB75B8"/>
    <w:pPr>
      <w:widowControl w:val="0"/>
      <w:numPr>
        <w:numId w:val="23"/>
      </w:numPr>
      <w:spacing w:after="0" w:line="276" w:lineRule="auto"/>
    </w:pPr>
    <w:rPr>
      <w:rFonts w:eastAsia="Times New Roman"/>
      <w:szCs w:val="20"/>
      <w:lang w:eastAsia="fr-FR"/>
    </w:rPr>
  </w:style>
  <w:style w:type="paragraph" w:styleId="NormalWeb">
    <w:name w:val="Normal (Web)"/>
    <w:basedOn w:val="Normal"/>
    <w:rsid w:val="00BB75B8"/>
    <w:pPr>
      <w:spacing w:before="100" w:beforeAutospacing="1" w:after="100" w:afterAutospacing="1" w:line="276" w:lineRule="auto"/>
    </w:pPr>
    <w:rPr>
      <w:rFonts w:ascii="Arial" w:eastAsia="Times New Roman" w:hAnsi="Arial" w:cs="Arial"/>
      <w:color w:val="000000"/>
      <w:sz w:val="17"/>
      <w:szCs w:val="17"/>
      <w:lang w:eastAsia="fr-FR"/>
    </w:rPr>
  </w:style>
  <w:style w:type="paragraph" w:styleId="Titre">
    <w:name w:val="Title"/>
    <w:basedOn w:val="Normal"/>
    <w:link w:val="TitreCar"/>
    <w:qFormat/>
    <w:rsid w:val="00BB75B8"/>
    <w:pPr>
      <w:spacing w:after="0" w:line="240" w:lineRule="exact"/>
      <w:jc w:val="center"/>
    </w:pPr>
    <w:rPr>
      <w:rFonts w:ascii="Arial Narrow" w:eastAsia="Times New Roman" w:hAnsi="Arial Narrow"/>
      <w:b/>
      <w:bCs/>
      <w:color w:val="000000"/>
      <w:sz w:val="36"/>
      <w:szCs w:val="24"/>
      <w:u w:val="single"/>
      <w:lang w:eastAsia="fr-FR"/>
    </w:rPr>
  </w:style>
  <w:style w:type="character" w:customStyle="1" w:styleId="TitreCar">
    <w:name w:val="Titre Car"/>
    <w:basedOn w:val="Policepardfaut"/>
    <w:link w:val="Titre"/>
    <w:rsid w:val="00BB75B8"/>
    <w:rPr>
      <w:rFonts w:ascii="Arial Narrow" w:eastAsia="Times New Roman" w:hAnsi="Arial Narrow"/>
      <w:b/>
      <w:bCs/>
      <w:color w:val="000000"/>
      <w:sz w:val="36"/>
      <w:szCs w:val="24"/>
      <w:u w:val="single"/>
    </w:rPr>
  </w:style>
  <w:style w:type="paragraph" w:styleId="Liste">
    <w:name w:val="List"/>
    <w:basedOn w:val="Normal"/>
    <w:rsid w:val="00BB75B8"/>
    <w:pPr>
      <w:spacing w:after="0" w:line="276" w:lineRule="auto"/>
      <w:ind w:left="283" w:hanging="283"/>
    </w:pPr>
    <w:rPr>
      <w:rFonts w:eastAsia="Times New Roman"/>
      <w:sz w:val="22"/>
      <w:szCs w:val="24"/>
      <w:lang w:eastAsia="fr-FR"/>
    </w:rPr>
  </w:style>
  <w:style w:type="paragraph" w:styleId="Liste2">
    <w:name w:val="List 2"/>
    <w:basedOn w:val="Normal"/>
    <w:rsid w:val="00BB75B8"/>
    <w:pPr>
      <w:spacing w:after="0" w:line="276" w:lineRule="auto"/>
      <w:ind w:left="566" w:hanging="283"/>
    </w:pPr>
    <w:rPr>
      <w:rFonts w:eastAsia="Times New Roman"/>
      <w:sz w:val="22"/>
      <w:szCs w:val="24"/>
      <w:lang w:eastAsia="fr-FR"/>
    </w:rPr>
  </w:style>
  <w:style w:type="paragraph" w:styleId="Salutations">
    <w:name w:val="Salutation"/>
    <w:basedOn w:val="Normal"/>
    <w:next w:val="Normal"/>
    <w:link w:val="SalutationsCar"/>
    <w:rsid w:val="00BB75B8"/>
    <w:pPr>
      <w:spacing w:after="0" w:line="276" w:lineRule="auto"/>
    </w:pPr>
    <w:rPr>
      <w:rFonts w:eastAsia="Times New Roman"/>
      <w:sz w:val="22"/>
      <w:szCs w:val="24"/>
      <w:lang w:eastAsia="fr-FR"/>
    </w:rPr>
  </w:style>
  <w:style w:type="character" w:customStyle="1" w:styleId="SalutationsCar">
    <w:name w:val="Salutations Car"/>
    <w:basedOn w:val="Policepardfaut"/>
    <w:link w:val="Salutations"/>
    <w:rsid w:val="00BB75B8"/>
    <w:rPr>
      <w:rFonts w:ascii="Century Gothic" w:eastAsia="Times New Roman" w:hAnsi="Century Gothic"/>
      <w:sz w:val="22"/>
      <w:szCs w:val="24"/>
    </w:rPr>
  </w:style>
  <w:style w:type="paragraph" w:styleId="Listecontinue2">
    <w:name w:val="List Continue 2"/>
    <w:basedOn w:val="Normal"/>
    <w:rsid w:val="00BB75B8"/>
    <w:pPr>
      <w:spacing w:line="276" w:lineRule="auto"/>
      <w:ind w:left="566"/>
    </w:pPr>
    <w:rPr>
      <w:rFonts w:eastAsia="Times New Roman"/>
      <w:sz w:val="22"/>
      <w:szCs w:val="24"/>
      <w:lang w:eastAsia="fr-FR"/>
    </w:rPr>
  </w:style>
  <w:style w:type="paragraph" w:customStyle="1" w:styleId="Adressedest">
    <w:name w:val="Adresse dest."/>
    <w:basedOn w:val="Normal"/>
    <w:rsid w:val="00BB75B8"/>
    <w:pPr>
      <w:spacing w:after="0" w:line="276" w:lineRule="auto"/>
    </w:pPr>
    <w:rPr>
      <w:rFonts w:eastAsia="Times New Roman"/>
      <w:sz w:val="22"/>
      <w:szCs w:val="24"/>
      <w:lang w:eastAsia="fr-FR"/>
    </w:rPr>
  </w:style>
  <w:style w:type="paragraph" w:customStyle="1" w:styleId="Lignederfrence">
    <w:name w:val="Ligne de référence"/>
    <w:basedOn w:val="Corpsdetexte"/>
    <w:rsid w:val="00BB75B8"/>
    <w:pPr>
      <w:spacing w:after="0" w:line="276" w:lineRule="auto"/>
    </w:pPr>
    <w:rPr>
      <w:rFonts w:eastAsia="Times New Roman"/>
      <w:b/>
      <w:bCs/>
      <w:sz w:val="22"/>
      <w:szCs w:val="24"/>
      <w:u w:val="single"/>
      <w:lang w:eastAsia="fr-FR"/>
    </w:rPr>
  </w:style>
  <w:style w:type="paragraph" w:styleId="Retrait1religne">
    <w:name w:val="Body Text First Indent"/>
    <w:basedOn w:val="Corpsdetexte"/>
    <w:link w:val="Retrait1religneCar"/>
    <w:rsid w:val="00BB75B8"/>
    <w:pPr>
      <w:spacing w:line="276" w:lineRule="auto"/>
      <w:ind w:firstLine="210"/>
    </w:pPr>
    <w:rPr>
      <w:rFonts w:eastAsia="Times New Roman"/>
      <w:sz w:val="22"/>
      <w:szCs w:val="24"/>
      <w:lang w:eastAsia="fr-FR"/>
    </w:rPr>
  </w:style>
  <w:style w:type="character" w:customStyle="1" w:styleId="Retrait1religneCar">
    <w:name w:val="Retrait 1re ligne Car"/>
    <w:basedOn w:val="CorpsdetexteCar"/>
    <w:link w:val="Retrait1religne"/>
    <w:rsid w:val="00BB75B8"/>
    <w:rPr>
      <w:rFonts w:ascii="Century Gothic" w:eastAsia="Times New Roman" w:hAnsi="Century Gothic"/>
      <w:sz w:val="22"/>
      <w:szCs w:val="24"/>
      <w:lang w:eastAsia="en-US"/>
    </w:rPr>
  </w:style>
  <w:style w:type="paragraph" w:styleId="Retraitcorpset1relig">
    <w:name w:val="Body Text First Indent 2"/>
    <w:basedOn w:val="Retraitcorpsdetexte"/>
    <w:link w:val="Retraitcorpset1religCar"/>
    <w:rsid w:val="00BB75B8"/>
    <w:pPr>
      <w:spacing w:after="120"/>
      <w:ind w:left="283" w:firstLine="210"/>
    </w:pPr>
  </w:style>
  <w:style w:type="character" w:customStyle="1" w:styleId="Retraitcorpset1religCar">
    <w:name w:val="Retrait corps et 1re lig. Car"/>
    <w:basedOn w:val="RetraitcorpsdetexteCar"/>
    <w:link w:val="Retraitcorpset1relig"/>
    <w:rsid w:val="00BB75B8"/>
    <w:rPr>
      <w:rFonts w:ascii="Century Gothic" w:eastAsia="Times New Roman" w:hAnsi="Century Gothic"/>
      <w:sz w:val="22"/>
      <w:szCs w:val="24"/>
    </w:rPr>
  </w:style>
  <w:style w:type="character" w:styleId="Lienhypertextesuivivisit">
    <w:name w:val="FollowedHyperlink"/>
    <w:basedOn w:val="Policepardfaut"/>
    <w:rsid w:val="00BB75B8"/>
    <w:rPr>
      <w:color w:val="954F72" w:themeColor="followedHyperlink"/>
      <w:u w:val="single"/>
    </w:rPr>
  </w:style>
  <w:style w:type="paragraph" w:customStyle="1" w:styleId="Default">
    <w:name w:val="Default"/>
    <w:rsid w:val="00BB75B8"/>
    <w:pPr>
      <w:autoSpaceDE w:val="0"/>
      <w:autoSpaceDN w:val="0"/>
      <w:adjustRightInd w:val="0"/>
    </w:pPr>
    <w:rPr>
      <w:rFonts w:ascii="Aller" w:eastAsia="Times New Roman" w:hAnsi="Aller" w:cs="Aller"/>
      <w:color w:val="000000"/>
      <w:sz w:val="24"/>
      <w:szCs w:val="24"/>
    </w:rPr>
  </w:style>
  <w:style w:type="table" w:customStyle="1" w:styleId="Grilledutableau3">
    <w:name w:val="Grille du tableau3"/>
    <w:basedOn w:val="TableauNormal"/>
    <w:next w:val="Grilledutableau"/>
    <w:rsid w:val="00BB75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aliases w:val="Section I."/>
    <w:basedOn w:val="Paragraphedeliste"/>
    <w:next w:val="Normal"/>
    <w:link w:val="Sous-titreCar"/>
    <w:qFormat/>
    <w:rsid w:val="00BB75B8"/>
    <w:pPr>
      <w:shd w:val="clear" w:color="auto" w:fill="002060"/>
      <w:spacing w:before="240" w:after="240" w:line="300" w:lineRule="auto"/>
      <w:ind w:left="426" w:hanging="349"/>
      <w:contextualSpacing w:val="0"/>
      <w:jc w:val="center"/>
    </w:pPr>
    <w:rPr>
      <w:rFonts w:ascii="Selawik" w:eastAsia="Times New Roman" w:hAnsi="Selawik" w:cs="Aller"/>
      <w:bCs/>
      <w:caps/>
      <w:color w:val="FFFFFF" w:themeColor="background1"/>
      <w:sz w:val="24"/>
      <w:szCs w:val="24"/>
      <w:lang w:eastAsia="fr-FR"/>
    </w:rPr>
  </w:style>
  <w:style w:type="character" w:customStyle="1" w:styleId="Sous-titreCar">
    <w:name w:val="Sous-titre Car"/>
    <w:aliases w:val="Section I. Car"/>
    <w:basedOn w:val="Policepardfaut"/>
    <w:link w:val="Sous-titre"/>
    <w:rsid w:val="00BB75B8"/>
    <w:rPr>
      <w:rFonts w:ascii="Selawik" w:eastAsia="Times New Roman" w:hAnsi="Selawik" w:cs="Aller"/>
      <w:bCs/>
      <w:caps/>
      <w:color w:val="FFFFFF" w:themeColor="background1"/>
      <w:sz w:val="24"/>
      <w:szCs w:val="24"/>
      <w:shd w:val="clear" w:color="auto" w:fill="002060"/>
    </w:rPr>
  </w:style>
  <w:style w:type="table" w:customStyle="1" w:styleId="Grilledutableau11">
    <w:name w:val="Grille du tableau11"/>
    <w:basedOn w:val="TableauNormal"/>
    <w:next w:val="Grilledutableau"/>
    <w:uiPriority w:val="59"/>
    <w:rsid w:val="00BB75B8"/>
    <w:rPr>
      <w:rFonts w:eastAsia="Yu Mincho"/>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5">
    <w:name w:val="Grid Table 1 Light Accent 5"/>
    <w:basedOn w:val="TableauNormal"/>
    <w:uiPriority w:val="46"/>
    <w:rsid w:val="00BB75B8"/>
    <w:rPr>
      <w:rFonts w:ascii="Times New Roman" w:eastAsia="Times New Roman" w:hAnsi="Times New Roman"/>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auGrille5Fonc-Accentuation5">
    <w:name w:val="Grid Table 5 Dark Accent 5"/>
    <w:basedOn w:val="TableauNormal"/>
    <w:uiPriority w:val="50"/>
    <w:rsid w:val="00BB75B8"/>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auGrille2-Accentuation1">
    <w:name w:val="Grid Table 2 Accent 1"/>
    <w:basedOn w:val="TableauNormal"/>
    <w:uiPriority w:val="47"/>
    <w:rsid w:val="00C62B9D"/>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tionnonrsolue3">
    <w:name w:val="Mention non résolue3"/>
    <w:basedOn w:val="Policepardfaut"/>
    <w:uiPriority w:val="99"/>
    <w:semiHidden/>
    <w:unhideWhenUsed/>
    <w:rsid w:val="00353240"/>
    <w:rPr>
      <w:color w:val="605E5C"/>
      <w:shd w:val="clear" w:color="auto" w:fill="E1DFDD"/>
    </w:rPr>
  </w:style>
  <w:style w:type="table" w:styleId="TableauGrille1Clair-Accentuation1">
    <w:name w:val="Grid Table 1 Light Accent 1"/>
    <w:basedOn w:val="TableauNormal"/>
    <w:uiPriority w:val="46"/>
    <w:rsid w:val="00EF1EF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auGrille6Couleur-Accentuation5">
    <w:name w:val="Grid Table 6 Colorful Accent 5"/>
    <w:basedOn w:val="TableauNormal"/>
    <w:uiPriority w:val="51"/>
    <w:rsid w:val="00EF1EFD"/>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entionnonrsolue4">
    <w:name w:val="Mention non résolue4"/>
    <w:basedOn w:val="Policepardfaut"/>
    <w:uiPriority w:val="99"/>
    <w:semiHidden/>
    <w:unhideWhenUsed/>
    <w:rsid w:val="00DC0B6D"/>
    <w:rPr>
      <w:color w:val="605E5C"/>
      <w:shd w:val="clear" w:color="auto" w:fill="E1DFDD"/>
    </w:rPr>
  </w:style>
  <w:style w:type="character" w:styleId="Mentionnonrsolue">
    <w:name w:val="Unresolved Mention"/>
    <w:basedOn w:val="Policepardfaut"/>
    <w:uiPriority w:val="99"/>
    <w:semiHidden/>
    <w:unhideWhenUsed/>
    <w:rsid w:val="00554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7295">
      <w:bodyDiv w:val="1"/>
      <w:marLeft w:val="0"/>
      <w:marRight w:val="0"/>
      <w:marTop w:val="0"/>
      <w:marBottom w:val="0"/>
      <w:divBdr>
        <w:top w:val="none" w:sz="0" w:space="0" w:color="auto"/>
        <w:left w:val="none" w:sz="0" w:space="0" w:color="auto"/>
        <w:bottom w:val="none" w:sz="0" w:space="0" w:color="auto"/>
        <w:right w:val="none" w:sz="0" w:space="0" w:color="auto"/>
      </w:divBdr>
    </w:div>
    <w:div w:id="15927002">
      <w:bodyDiv w:val="1"/>
      <w:marLeft w:val="0"/>
      <w:marRight w:val="0"/>
      <w:marTop w:val="0"/>
      <w:marBottom w:val="0"/>
      <w:divBdr>
        <w:top w:val="none" w:sz="0" w:space="0" w:color="auto"/>
        <w:left w:val="none" w:sz="0" w:space="0" w:color="auto"/>
        <w:bottom w:val="none" w:sz="0" w:space="0" w:color="auto"/>
        <w:right w:val="none" w:sz="0" w:space="0" w:color="auto"/>
      </w:divBdr>
    </w:div>
    <w:div w:id="16977037">
      <w:bodyDiv w:val="1"/>
      <w:marLeft w:val="0"/>
      <w:marRight w:val="0"/>
      <w:marTop w:val="0"/>
      <w:marBottom w:val="0"/>
      <w:divBdr>
        <w:top w:val="none" w:sz="0" w:space="0" w:color="auto"/>
        <w:left w:val="none" w:sz="0" w:space="0" w:color="auto"/>
        <w:bottom w:val="none" w:sz="0" w:space="0" w:color="auto"/>
        <w:right w:val="none" w:sz="0" w:space="0" w:color="auto"/>
      </w:divBdr>
    </w:div>
    <w:div w:id="33044295">
      <w:bodyDiv w:val="1"/>
      <w:marLeft w:val="0"/>
      <w:marRight w:val="0"/>
      <w:marTop w:val="0"/>
      <w:marBottom w:val="0"/>
      <w:divBdr>
        <w:top w:val="none" w:sz="0" w:space="0" w:color="auto"/>
        <w:left w:val="none" w:sz="0" w:space="0" w:color="auto"/>
        <w:bottom w:val="none" w:sz="0" w:space="0" w:color="auto"/>
        <w:right w:val="none" w:sz="0" w:space="0" w:color="auto"/>
      </w:divBdr>
    </w:div>
    <w:div w:id="40374655">
      <w:bodyDiv w:val="1"/>
      <w:marLeft w:val="0"/>
      <w:marRight w:val="0"/>
      <w:marTop w:val="0"/>
      <w:marBottom w:val="0"/>
      <w:divBdr>
        <w:top w:val="none" w:sz="0" w:space="0" w:color="auto"/>
        <w:left w:val="none" w:sz="0" w:space="0" w:color="auto"/>
        <w:bottom w:val="none" w:sz="0" w:space="0" w:color="auto"/>
        <w:right w:val="none" w:sz="0" w:space="0" w:color="auto"/>
      </w:divBdr>
    </w:div>
    <w:div w:id="59718658">
      <w:bodyDiv w:val="1"/>
      <w:marLeft w:val="0"/>
      <w:marRight w:val="0"/>
      <w:marTop w:val="0"/>
      <w:marBottom w:val="0"/>
      <w:divBdr>
        <w:top w:val="none" w:sz="0" w:space="0" w:color="auto"/>
        <w:left w:val="none" w:sz="0" w:space="0" w:color="auto"/>
        <w:bottom w:val="none" w:sz="0" w:space="0" w:color="auto"/>
        <w:right w:val="none" w:sz="0" w:space="0" w:color="auto"/>
      </w:divBdr>
    </w:div>
    <w:div w:id="71706818">
      <w:bodyDiv w:val="1"/>
      <w:marLeft w:val="0"/>
      <w:marRight w:val="0"/>
      <w:marTop w:val="0"/>
      <w:marBottom w:val="0"/>
      <w:divBdr>
        <w:top w:val="none" w:sz="0" w:space="0" w:color="auto"/>
        <w:left w:val="none" w:sz="0" w:space="0" w:color="auto"/>
        <w:bottom w:val="none" w:sz="0" w:space="0" w:color="auto"/>
        <w:right w:val="none" w:sz="0" w:space="0" w:color="auto"/>
      </w:divBdr>
    </w:div>
    <w:div w:id="110052121">
      <w:bodyDiv w:val="1"/>
      <w:marLeft w:val="0"/>
      <w:marRight w:val="0"/>
      <w:marTop w:val="0"/>
      <w:marBottom w:val="0"/>
      <w:divBdr>
        <w:top w:val="none" w:sz="0" w:space="0" w:color="auto"/>
        <w:left w:val="none" w:sz="0" w:space="0" w:color="auto"/>
        <w:bottom w:val="none" w:sz="0" w:space="0" w:color="auto"/>
        <w:right w:val="none" w:sz="0" w:space="0" w:color="auto"/>
      </w:divBdr>
    </w:div>
    <w:div w:id="114519853">
      <w:bodyDiv w:val="1"/>
      <w:marLeft w:val="0"/>
      <w:marRight w:val="0"/>
      <w:marTop w:val="0"/>
      <w:marBottom w:val="0"/>
      <w:divBdr>
        <w:top w:val="none" w:sz="0" w:space="0" w:color="auto"/>
        <w:left w:val="none" w:sz="0" w:space="0" w:color="auto"/>
        <w:bottom w:val="none" w:sz="0" w:space="0" w:color="auto"/>
        <w:right w:val="none" w:sz="0" w:space="0" w:color="auto"/>
      </w:divBdr>
    </w:div>
    <w:div w:id="131824186">
      <w:bodyDiv w:val="1"/>
      <w:marLeft w:val="0"/>
      <w:marRight w:val="0"/>
      <w:marTop w:val="0"/>
      <w:marBottom w:val="0"/>
      <w:divBdr>
        <w:top w:val="none" w:sz="0" w:space="0" w:color="auto"/>
        <w:left w:val="none" w:sz="0" w:space="0" w:color="auto"/>
        <w:bottom w:val="none" w:sz="0" w:space="0" w:color="auto"/>
        <w:right w:val="none" w:sz="0" w:space="0" w:color="auto"/>
      </w:divBdr>
    </w:div>
    <w:div w:id="158275311">
      <w:bodyDiv w:val="1"/>
      <w:marLeft w:val="0"/>
      <w:marRight w:val="0"/>
      <w:marTop w:val="0"/>
      <w:marBottom w:val="0"/>
      <w:divBdr>
        <w:top w:val="none" w:sz="0" w:space="0" w:color="auto"/>
        <w:left w:val="none" w:sz="0" w:space="0" w:color="auto"/>
        <w:bottom w:val="none" w:sz="0" w:space="0" w:color="auto"/>
        <w:right w:val="none" w:sz="0" w:space="0" w:color="auto"/>
      </w:divBdr>
    </w:div>
    <w:div w:id="187376314">
      <w:bodyDiv w:val="1"/>
      <w:marLeft w:val="0"/>
      <w:marRight w:val="0"/>
      <w:marTop w:val="0"/>
      <w:marBottom w:val="0"/>
      <w:divBdr>
        <w:top w:val="none" w:sz="0" w:space="0" w:color="auto"/>
        <w:left w:val="none" w:sz="0" w:space="0" w:color="auto"/>
        <w:bottom w:val="none" w:sz="0" w:space="0" w:color="auto"/>
        <w:right w:val="none" w:sz="0" w:space="0" w:color="auto"/>
      </w:divBdr>
    </w:div>
    <w:div w:id="197280575">
      <w:bodyDiv w:val="1"/>
      <w:marLeft w:val="0"/>
      <w:marRight w:val="0"/>
      <w:marTop w:val="0"/>
      <w:marBottom w:val="0"/>
      <w:divBdr>
        <w:top w:val="none" w:sz="0" w:space="0" w:color="auto"/>
        <w:left w:val="none" w:sz="0" w:space="0" w:color="auto"/>
        <w:bottom w:val="none" w:sz="0" w:space="0" w:color="auto"/>
        <w:right w:val="none" w:sz="0" w:space="0" w:color="auto"/>
      </w:divBdr>
    </w:div>
    <w:div w:id="211772053">
      <w:bodyDiv w:val="1"/>
      <w:marLeft w:val="0"/>
      <w:marRight w:val="0"/>
      <w:marTop w:val="0"/>
      <w:marBottom w:val="0"/>
      <w:divBdr>
        <w:top w:val="none" w:sz="0" w:space="0" w:color="auto"/>
        <w:left w:val="none" w:sz="0" w:space="0" w:color="auto"/>
        <w:bottom w:val="none" w:sz="0" w:space="0" w:color="auto"/>
        <w:right w:val="none" w:sz="0" w:space="0" w:color="auto"/>
      </w:divBdr>
    </w:div>
    <w:div w:id="221525178">
      <w:bodyDiv w:val="1"/>
      <w:marLeft w:val="0"/>
      <w:marRight w:val="0"/>
      <w:marTop w:val="0"/>
      <w:marBottom w:val="0"/>
      <w:divBdr>
        <w:top w:val="none" w:sz="0" w:space="0" w:color="auto"/>
        <w:left w:val="none" w:sz="0" w:space="0" w:color="auto"/>
        <w:bottom w:val="none" w:sz="0" w:space="0" w:color="auto"/>
        <w:right w:val="none" w:sz="0" w:space="0" w:color="auto"/>
      </w:divBdr>
    </w:div>
    <w:div w:id="265776968">
      <w:bodyDiv w:val="1"/>
      <w:marLeft w:val="0"/>
      <w:marRight w:val="0"/>
      <w:marTop w:val="0"/>
      <w:marBottom w:val="0"/>
      <w:divBdr>
        <w:top w:val="none" w:sz="0" w:space="0" w:color="auto"/>
        <w:left w:val="none" w:sz="0" w:space="0" w:color="auto"/>
        <w:bottom w:val="none" w:sz="0" w:space="0" w:color="auto"/>
        <w:right w:val="none" w:sz="0" w:space="0" w:color="auto"/>
      </w:divBdr>
    </w:div>
    <w:div w:id="277418919">
      <w:bodyDiv w:val="1"/>
      <w:marLeft w:val="0"/>
      <w:marRight w:val="0"/>
      <w:marTop w:val="0"/>
      <w:marBottom w:val="0"/>
      <w:divBdr>
        <w:top w:val="none" w:sz="0" w:space="0" w:color="auto"/>
        <w:left w:val="none" w:sz="0" w:space="0" w:color="auto"/>
        <w:bottom w:val="none" w:sz="0" w:space="0" w:color="auto"/>
        <w:right w:val="none" w:sz="0" w:space="0" w:color="auto"/>
      </w:divBdr>
    </w:div>
    <w:div w:id="315112873">
      <w:bodyDiv w:val="1"/>
      <w:marLeft w:val="0"/>
      <w:marRight w:val="0"/>
      <w:marTop w:val="0"/>
      <w:marBottom w:val="0"/>
      <w:divBdr>
        <w:top w:val="none" w:sz="0" w:space="0" w:color="auto"/>
        <w:left w:val="none" w:sz="0" w:space="0" w:color="auto"/>
        <w:bottom w:val="none" w:sz="0" w:space="0" w:color="auto"/>
        <w:right w:val="none" w:sz="0" w:space="0" w:color="auto"/>
      </w:divBdr>
    </w:div>
    <w:div w:id="357584012">
      <w:bodyDiv w:val="1"/>
      <w:marLeft w:val="0"/>
      <w:marRight w:val="0"/>
      <w:marTop w:val="0"/>
      <w:marBottom w:val="0"/>
      <w:divBdr>
        <w:top w:val="none" w:sz="0" w:space="0" w:color="auto"/>
        <w:left w:val="none" w:sz="0" w:space="0" w:color="auto"/>
        <w:bottom w:val="none" w:sz="0" w:space="0" w:color="auto"/>
        <w:right w:val="none" w:sz="0" w:space="0" w:color="auto"/>
      </w:divBdr>
    </w:div>
    <w:div w:id="394671310">
      <w:bodyDiv w:val="1"/>
      <w:marLeft w:val="0"/>
      <w:marRight w:val="0"/>
      <w:marTop w:val="0"/>
      <w:marBottom w:val="0"/>
      <w:divBdr>
        <w:top w:val="none" w:sz="0" w:space="0" w:color="auto"/>
        <w:left w:val="none" w:sz="0" w:space="0" w:color="auto"/>
        <w:bottom w:val="none" w:sz="0" w:space="0" w:color="auto"/>
        <w:right w:val="none" w:sz="0" w:space="0" w:color="auto"/>
      </w:divBdr>
    </w:div>
    <w:div w:id="403840047">
      <w:bodyDiv w:val="1"/>
      <w:marLeft w:val="0"/>
      <w:marRight w:val="0"/>
      <w:marTop w:val="0"/>
      <w:marBottom w:val="0"/>
      <w:divBdr>
        <w:top w:val="none" w:sz="0" w:space="0" w:color="auto"/>
        <w:left w:val="none" w:sz="0" w:space="0" w:color="auto"/>
        <w:bottom w:val="none" w:sz="0" w:space="0" w:color="auto"/>
        <w:right w:val="none" w:sz="0" w:space="0" w:color="auto"/>
      </w:divBdr>
    </w:div>
    <w:div w:id="437531669">
      <w:bodyDiv w:val="1"/>
      <w:marLeft w:val="0"/>
      <w:marRight w:val="0"/>
      <w:marTop w:val="0"/>
      <w:marBottom w:val="0"/>
      <w:divBdr>
        <w:top w:val="none" w:sz="0" w:space="0" w:color="auto"/>
        <w:left w:val="none" w:sz="0" w:space="0" w:color="auto"/>
        <w:bottom w:val="none" w:sz="0" w:space="0" w:color="auto"/>
        <w:right w:val="none" w:sz="0" w:space="0" w:color="auto"/>
      </w:divBdr>
    </w:div>
    <w:div w:id="466241451">
      <w:bodyDiv w:val="1"/>
      <w:marLeft w:val="0"/>
      <w:marRight w:val="0"/>
      <w:marTop w:val="0"/>
      <w:marBottom w:val="0"/>
      <w:divBdr>
        <w:top w:val="none" w:sz="0" w:space="0" w:color="auto"/>
        <w:left w:val="none" w:sz="0" w:space="0" w:color="auto"/>
        <w:bottom w:val="none" w:sz="0" w:space="0" w:color="auto"/>
        <w:right w:val="none" w:sz="0" w:space="0" w:color="auto"/>
      </w:divBdr>
    </w:div>
    <w:div w:id="476335803">
      <w:bodyDiv w:val="1"/>
      <w:marLeft w:val="0"/>
      <w:marRight w:val="0"/>
      <w:marTop w:val="0"/>
      <w:marBottom w:val="0"/>
      <w:divBdr>
        <w:top w:val="none" w:sz="0" w:space="0" w:color="auto"/>
        <w:left w:val="none" w:sz="0" w:space="0" w:color="auto"/>
        <w:bottom w:val="none" w:sz="0" w:space="0" w:color="auto"/>
        <w:right w:val="none" w:sz="0" w:space="0" w:color="auto"/>
      </w:divBdr>
    </w:div>
    <w:div w:id="480001079">
      <w:bodyDiv w:val="1"/>
      <w:marLeft w:val="0"/>
      <w:marRight w:val="0"/>
      <w:marTop w:val="0"/>
      <w:marBottom w:val="0"/>
      <w:divBdr>
        <w:top w:val="none" w:sz="0" w:space="0" w:color="auto"/>
        <w:left w:val="none" w:sz="0" w:space="0" w:color="auto"/>
        <w:bottom w:val="none" w:sz="0" w:space="0" w:color="auto"/>
        <w:right w:val="none" w:sz="0" w:space="0" w:color="auto"/>
      </w:divBdr>
    </w:div>
    <w:div w:id="481242000">
      <w:bodyDiv w:val="1"/>
      <w:marLeft w:val="0"/>
      <w:marRight w:val="0"/>
      <w:marTop w:val="0"/>
      <w:marBottom w:val="0"/>
      <w:divBdr>
        <w:top w:val="none" w:sz="0" w:space="0" w:color="auto"/>
        <w:left w:val="none" w:sz="0" w:space="0" w:color="auto"/>
        <w:bottom w:val="none" w:sz="0" w:space="0" w:color="auto"/>
        <w:right w:val="none" w:sz="0" w:space="0" w:color="auto"/>
      </w:divBdr>
    </w:div>
    <w:div w:id="576062396">
      <w:bodyDiv w:val="1"/>
      <w:marLeft w:val="0"/>
      <w:marRight w:val="0"/>
      <w:marTop w:val="0"/>
      <w:marBottom w:val="0"/>
      <w:divBdr>
        <w:top w:val="none" w:sz="0" w:space="0" w:color="auto"/>
        <w:left w:val="none" w:sz="0" w:space="0" w:color="auto"/>
        <w:bottom w:val="none" w:sz="0" w:space="0" w:color="auto"/>
        <w:right w:val="none" w:sz="0" w:space="0" w:color="auto"/>
      </w:divBdr>
    </w:div>
    <w:div w:id="580335937">
      <w:bodyDiv w:val="1"/>
      <w:marLeft w:val="0"/>
      <w:marRight w:val="0"/>
      <w:marTop w:val="0"/>
      <w:marBottom w:val="0"/>
      <w:divBdr>
        <w:top w:val="none" w:sz="0" w:space="0" w:color="auto"/>
        <w:left w:val="none" w:sz="0" w:space="0" w:color="auto"/>
        <w:bottom w:val="none" w:sz="0" w:space="0" w:color="auto"/>
        <w:right w:val="none" w:sz="0" w:space="0" w:color="auto"/>
      </w:divBdr>
    </w:div>
    <w:div w:id="580452677">
      <w:bodyDiv w:val="1"/>
      <w:marLeft w:val="0"/>
      <w:marRight w:val="0"/>
      <w:marTop w:val="0"/>
      <w:marBottom w:val="0"/>
      <w:divBdr>
        <w:top w:val="none" w:sz="0" w:space="0" w:color="auto"/>
        <w:left w:val="none" w:sz="0" w:space="0" w:color="auto"/>
        <w:bottom w:val="none" w:sz="0" w:space="0" w:color="auto"/>
        <w:right w:val="none" w:sz="0" w:space="0" w:color="auto"/>
      </w:divBdr>
    </w:div>
    <w:div w:id="583298956">
      <w:bodyDiv w:val="1"/>
      <w:marLeft w:val="0"/>
      <w:marRight w:val="0"/>
      <w:marTop w:val="0"/>
      <w:marBottom w:val="0"/>
      <w:divBdr>
        <w:top w:val="none" w:sz="0" w:space="0" w:color="auto"/>
        <w:left w:val="none" w:sz="0" w:space="0" w:color="auto"/>
        <w:bottom w:val="none" w:sz="0" w:space="0" w:color="auto"/>
        <w:right w:val="none" w:sz="0" w:space="0" w:color="auto"/>
      </w:divBdr>
    </w:div>
    <w:div w:id="590625519">
      <w:bodyDiv w:val="1"/>
      <w:marLeft w:val="0"/>
      <w:marRight w:val="0"/>
      <w:marTop w:val="0"/>
      <w:marBottom w:val="0"/>
      <w:divBdr>
        <w:top w:val="none" w:sz="0" w:space="0" w:color="auto"/>
        <w:left w:val="none" w:sz="0" w:space="0" w:color="auto"/>
        <w:bottom w:val="none" w:sz="0" w:space="0" w:color="auto"/>
        <w:right w:val="none" w:sz="0" w:space="0" w:color="auto"/>
      </w:divBdr>
    </w:div>
    <w:div w:id="608128492">
      <w:bodyDiv w:val="1"/>
      <w:marLeft w:val="0"/>
      <w:marRight w:val="0"/>
      <w:marTop w:val="0"/>
      <w:marBottom w:val="0"/>
      <w:divBdr>
        <w:top w:val="none" w:sz="0" w:space="0" w:color="auto"/>
        <w:left w:val="none" w:sz="0" w:space="0" w:color="auto"/>
        <w:bottom w:val="none" w:sz="0" w:space="0" w:color="auto"/>
        <w:right w:val="none" w:sz="0" w:space="0" w:color="auto"/>
      </w:divBdr>
    </w:div>
    <w:div w:id="610284793">
      <w:bodyDiv w:val="1"/>
      <w:marLeft w:val="0"/>
      <w:marRight w:val="0"/>
      <w:marTop w:val="0"/>
      <w:marBottom w:val="0"/>
      <w:divBdr>
        <w:top w:val="none" w:sz="0" w:space="0" w:color="auto"/>
        <w:left w:val="none" w:sz="0" w:space="0" w:color="auto"/>
        <w:bottom w:val="none" w:sz="0" w:space="0" w:color="auto"/>
        <w:right w:val="none" w:sz="0" w:space="0" w:color="auto"/>
      </w:divBdr>
    </w:div>
    <w:div w:id="614093401">
      <w:bodyDiv w:val="1"/>
      <w:marLeft w:val="0"/>
      <w:marRight w:val="0"/>
      <w:marTop w:val="0"/>
      <w:marBottom w:val="0"/>
      <w:divBdr>
        <w:top w:val="none" w:sz="0" w:space="0" w:color="auto"/>
        <w:left w:val="none" w:sz="0" w:space="0" w:color="auto"/>
        <w:bottom w:val="none" w:sz="0" w:space="0" w:color="auto"/>
        <w:right w:val="none" w:sz="0" w:space="0" w:color="auto"/>
      </w:divBdr>
    </w:div>
    <w:div w:id="655426080">
      <w:bodyDiv w:val="1"/>
      <w:marLeft w:val="0"/>
      <w:marRight w:val="0"/>
      <w:marTop w:val="0"/>
      <w:marBottom w:val="0"/>
      <w:divBdr>
        <w:top w:val="none" w:sz="0" w:space="0" w:color="auto"/>
        <w:left w:val="none" w:sz="0" w:space="0" w:color="auto"/>
        <w:bottom w:val="none" w:sz="0" w:space="0" w:color="auto"/>
        <w:right w:val="none" w:sz="0" w:space="0" w:color="auto"/>
      </w:divBdr>
    </w:div>
    <w:div w:id="693656823">
      <w:bodyDiv w:val="1"/>
      <w:marLeft w:val="0"/>
      <w:marRight w:val="0"/>
      <w:marTop w:val="0"/>
      <w:marBottom w:val="0"/>
      <w:divBdr>
        <w:top w:val="none" w:sz="0" w:space="0" w:color="auto"/>
        <w:left w:val="none" w:sz="0" w:space="0" w:color="auto"/>
        <w:bottom w:val="none" w:sz="0" w:space="0" w:color="auto"/>
        <w:right w:val="none" w:sz="0" w:space="0" w:color="auto"/>
      </w:divBdr>
    </w:div>
    <w:div w:id="698894162">
      <w:bodyDiv w:val="1"/>
      <w:marLeft w:val="0"/>
      <w:marRight w:val="0"/>
      <w:marTop w:val="0"/>
      <w:marBottom w:val="0"/>
      <w:divBdr>
        <w:top w:val="none" w:sz="0" w:space="0" w:color="auto"/>
        <w:left w:val="none" w:sz="0" w:space="0" w:color="auto"/>
        <w:bottom w:val="none" w:sz="0" w:space="0" w:color="auto"/>
        <w:right w:val="none" w:sz="0" w:space="0" w:color="auto"/>
      </w:divBdr>
    </w:div>
    <w:div w:id="719479656">
      <w:bodyDiv w:val="1"/>
      <w:marLeft w:val="0"/>
      <w:marRight w:val="0"/>
      <w:marTop w:val="0"/>
      <w:marBottom w:val="0"/>
      <w:divBdr>
        <w:top w:val="none" w:sz="0" w:space="0" w:color="auto"/>
        <w:left w:val="none" w:sz="0" w:space="0" w:color="auto"/>
        <w:bottom w:val="none" w:sz="0" w:space="0" w:color="auto"/>
        <w:right w:val="none" w:sz="0" w:space="0" w:color="auto"/>
      </w:divBdr>
    </w:div>
    <w:div w:id="764500287">
      <w:bodyDiv w:val="1"/>
      <w:marLeft w:val="0"/>
      <w:marRight w:val="0"/>
      <w:marTop w:val="0"/>
      <w:marBottom w:val="0"/>
      <w:divBdr>
        <w:top w:val="none" w:sz="0" w:space="0" w:color="auto"/>
        <w:left w:val="none" w:sz="0" w:space="0" w:color="auto"/>
        <w:bottom w:val="none" w:sz="0" w:space="0" w:color="auto"/>
        <w:right w:val="none" w:sz="0" w:space="0" w:color="auto"/>
      </w:divBdr>
    </w:div>
    <w:div w:id="777798101">
      <w:bodyDiv w:val="1"/>
      <w:marLeft w:val="0"/>
      <w:marRight w:val="0"/>
      <w:marTop w:val="0"/>
      <w:marBottom w:val="0"/>
      <w:divBdr>
        <w:top w:val="none" w:sz="0" w:space="0" w:color="auto"/>
        <w:left w:val="none" w:sz="0" w:space="0" w:color="auto"/>
        <w:bottom w:val="none" w:sz="0" w:space="0" w:color="auto"/>
        <w:right w:val="none" w:sz="0" w:space="0" w:color="auto"/>
      </w:divBdr>
    </w:div>
    <w:div w:id="787048016">
      <w:bodyDiv w:val="1"/>
      <w:marLeft w:val="0"/>
      <w:marRight w:val="0"/>
      <w:marTop w:val="0"/>
      <w:marBottom w:val="0"/>
      <w:divBdr>
        <w:top w:val="none" w:sz="0" w:space="0" w:color="auto"/>
        <w:left w:val="none" w:sz="0" w:space="0" w:color="auto"/>
        <w:bottom w:val="none" w:sz="0" w:space="0" w:color="auto"/>
        <w:right w:val="none" w:sz="0" w:space="0" w:color="auto"/>
      </w:divBdr>
    </w:div>
    <w:div w:id="823397142">
      <w:bodyDiv w:val="1"/>
      <w:marLeft w:val="0"/>
      <w:marRight w:val="0"/>
      <w:marTop w:val="0"/>
      <w:marBottom w:val="0"/>
      <w:divBdr>
        <w:top w:val="none" w:sz="0" w:space="0" w:color="auto"/>
        <w:left w:val="none" w:sz="0" w:space="0" w:color="auto"/>
        <w:bottom w:val="none" w:sz="0" w:space="0" w:color="auto"/>
        <w:right w:val="none" w:sz="0" w:space="0" w:color="auto"/>
      </w:divBdr>
    </w:div>
    <w:div w:id="832642857">
      <w:bodyDiv w:val="1"/>
      <w:marLeft w:val="0"/>
      <w:marRight w:val="0"/>
      <w:marTop w:val="0"/>
      <w:marBottom w:val="0"/>
      <w:divBdr>
        <w:top w:val="none" w:sz="0" w:space="0" w:color="auto"/>
        <w:left w:val="none" w:sz="0" w:space="0" w:color="auto"/>
        <w:bottom w:val="none" w:sz="0" w:space="0" w:color="auto"/>
        <w:right w:val="none" w:sz="0" w:space="0" w:color="auto"/>
      </w:divBdr>
    </w:div>
    <w:div w:id="844589467">
      <w:bodyDiv w:val="1"/>
      <w:marLeft w:val="0"/>
      <w:marRight w:val="0"/>
      <w:marTop w:val="0"/>
      <w:marBottom w:val="0"/>
      <w:divBdr>
        <w:top w:val="none" w:sz="0" w:space="0" w:color="auto"/>
        <w:left w:val="none" w:sz="0" w:space="0" w:color="auto"/>
        <w:bottom w:val="none" w:sz="0" w:space="0" w:color="auto"/>
        <w:right w:val="none" w:sz="0" w:space="0" w:color="auto"/>
      </w:divBdr>
    </w:div>
    <w:div w:id="850024599">
      <w:bodyDiv w:val="1"/>
      <w:marLeft w:val="0"/>
      <w:marRight w:val="0"/>
      <w:marTop w:val="0"/>
      <w:marBottom w:val="0"/>
      <w:divBdr>
        <w:top w:val="none" w:sz="0" w:space="0" w:color="auto"/>
        <w:left w:val="none" w:sz="0" w:space="0" w:color="auto"/>
        <w:bottom w:val="none" w:sz="0" w:space="0" w:color="auto"/>
        <w:right w:val="none" w:sz="0" w:space="0" w:color="auto"/>
      </w:divBdr>
    </w:div>
    <w:div w:id="862085460">
      <w:bodyDiv w:val="1"/>
      <w:marLeft w:val="0"/>
      <w:marRight w:val="0"/>
      <w:marTop w:val="0"/>
      <w:marBottom w:val="0"/>
      <w:divBdr>
        <w:top w:val="none" w:sz="0" w:space="0" w:color="auto"/>
        <w:left w:val="none" w:sz="0" w:space="0" w:color="auto"/>
        <w:bottom w:val="none" w:sz="0" w:space="0" w:color="auto"/>
        <w:right w:val="none" w:sz="0" w:space="0" w:color="auto"/>
      </w:divBdr>
    </w:div>
    <w:div w:id="862668350">
      <w:bodyDiv w:val="1"/>
      <w:marLeft w:val="0"/>
      <w:marRight w:val="0"/>
      <w:marTop w:val="0"/>
      <w:marBottom w:val="0"/>
      <w:divBdr>
        <w:top w:val="none" w:sz="0" w:space="0" w:color="auto"/>
        <w:left w:val="none" w:sz="0" w:space="0" w:color="auto"/>
        <w:bottom w:val="none" w:sz="0" w:space="0" w:color="auto"/>
        <w:right w:val="none" w:sz="0" w:space="0" w:color="auto"/>
      </w:divBdr>
    </w:div>
    <w:div w:id="869301437">
      <w:bodyDiv w:val="1"/>
      <w:marLeft w:val="0"/>
      <w:marRight w:val="0"/>
      <w:marTop w:val="0"/>
      <w:marBottom w:val="0"/>
      <w:divBdr>
        <w:top w:val="none" w:sz="0" w:space="0" w:color="auto"/>
        <w:left w:val="none" w:sz="0" w:space="0" w:color="auto"/>
        <w:bottom w:val="none" w:sz="0" w:space="0" w:color="auto"/>
        <w:right w:val="none" w:sz="0" w:space="0" w:color="auto"/>
      </w:divBdr>
    </w:div>
    <w:div w:id="873037814">
      <w:bodyDiv w:val="1"/>
      <w:marLeft w:val="0"/>
      <w:marRight w:val="0"/>
      <w:marTop w:val="0"/>
      <w:marBottom w:val="0"/>
      <w:divBdr>
        <w:top w:val="none" w:sz="0" w:space="0" w:color="auto"/>
        <w:left w:val="none" w:sz="0" w:space="0" w:color="auto"/>
        <w:bottom w:val="none" w:sz="0" w:space="0" w:color="auto"/>
        <w:right w:val="none" w:sz="0" w:space="0" w:color="auto"/>
      </w:divBdr>
    </w:div>
    <w:div w:id="886986210">
      <w:bodyDiv w:val="1"/>
      <w:marLeft w:val="0"/>
      <w:marRight w:val="0"/>
      <w:marTop w:val="0"/>
      <w:marBottom w:val="0"/>
      <w:divBdr>
        <w:top w:val="none" w:sz="0" w:space="0" w:color="auto"/>
        <w:left w:val="none" w:sz="0" w:space="0" w:color="auto"/>
        <w:bottom w:val="none" w:sz="0" w:space="0" w:color="auto"/>
        <w:right w:val="none" w:sz="0" w:space="0" w:color="auto"/>
      </w:divBdr>
    </w:div>
    <w:div w:id="900286339">
      <w:bodyDiv w:val="1"/>
      <w:marLeft w:val="0"/>
      <w:marRight w:val="0"/>
      <w:marTop w:val="0"/>
      <w:marBottom w:val="0"/>
      <w:divBdr>
        <w:top w:val="none" w:sz="0" w:space="0" w:color="auto"/>
        <w:left w:val="none" w:sz="0" w:space="0" w:color="auto"/>
        <w:bottom w:val="none" w:sz="0" w:space="0" w:color="auto"/>
        <w:right w:val="none" w:sz="0" w:space="0" w:color="auto"/>
      </w:divBdr>
    </w:div>
    <w:div w:id="913587812">
      <w:bodyDiv w:val="1"/>
      <w:marLeft w:val="0"/>
      <w:marRight w:val="0"/>
      <w:marTop w:val="0"/>
      <w:marBottom w:val="0"/>
      <w:divBdr>
        <w:top w:val="none" w:sz="0" w:space="0" w:color="auto"/>
        <w:left w:val="none" w:sz="0" w:space="0" w:color="auto"/>
        <w:bottom w:val="none" w:sz="0" w:space="0" w:color="auto"/>
        <w:right w:val="none" w:sz="0" w:space="0" w:color="auto"/>
      </w:divBdr>
    </w:div>
    <w:div w:id="948001884">
      <w:bodyDiv w:val="1"/>
      <w:marLeft w:val="0"/>
      <w:marRight w:val="0"/>
      <w:marTop w:val="0"/>
      <w:marBottom w:val="0"/>
      <w:divBdr>
        <w:top w:val="none" w:sz="0" w:space="0" w:color="auto"/>
        <w:left w:val="none" w:sz="0" w:space="0" w:color="auto"/>
        <w:bottom w:val="none" w:sz="0" w:space="0" w:color="auto"/>
        <w:right w:val="none" w:sz="0" w:space="0" w:color="auto"/>
      </w:divBdr>
    </w:div>
    <w:div w:id="996345200">
      <w:bodyDiv w:val="1"/>
      <w:marLeft w:val="0"/>
      <w:marRight w:val="0"/>
      <w:marTop w:val="0"/>
      <w:marBottom w:val="0"/>
      <w:divBdr>
        <w:top w:val="none" w:sz="0" w:space="0" w:color="auto"/>
        <w:left w:val="none" w:sz="0" w:space="0" w:color="auto"/>
        <w:bottom w:val="none" w:sz="0" w:space="0" w:color="auto"/>
        <w:right w:val="none" w:sz="0" w:space="0" w:color="auto"/>
      </w:divBdr>
    </w:div>
    <w:div w:id="1025983174">
      <w:bodyDiv w:val="1"/>
      <w:marLeft w:val="0"/>
      <w:marRight w:val="0"/>
      <w:marTop w:val="0"/>
      <w:marBottom w:val="0"/>
      <w:divBdr>
        <w:top w:val="none" w:sz="0" w:space="0" w:color="auto"/>
        <w:left w:val="none" w:sz="0" w:space="0" w:color="auto"/>
        <w:bottom w:val="none" w:sz="0" w:space="0" w:color="auto"/>
        <w:right w:val="none" w:sz="0" w:space="0" w:color="auto"/>
      </w:divBdr>
    </w:div>
    <w:div w:id="1027489511">
      <w:bodyDiv w:val="1"/>
      <w:marLeft w:val="0"/>
      <w:marRight w:val="0"/>
      <w:marTop w:val="0"/>
      <w:marBottom w:val="0"/>
      <w:divBdr>
        <w:top w:val="none" w:sz="0" w:space="0" w:color="auto"/>
        <w:left w:val="none" w:sz="0" w:space="0" w:color="auto"/>
        <w:bottom w:val="none" w:sz="0" w:space="0" w:color="auto"/>
        <w:right w:val="none" w:sz="0" w:space="0" w:color="auto"/>
      </w:divBdr>
    </w:div>
    <w:div w:id="1036659787">
      <w:bodyDiv w:val="1"/>
      <w:marLeft w:val="0"/>
      <w:marRight w:val="0"/>
      <w:marTop w:val="0"/>
      <w:marBottom w:val="0"/>
      <w:divBdr>
        <w:top w:val="none" w:sz="0" w:space="0" w:color="auto"/>
        <w:left w:val="none" w:sz="0" w:space="0" w:color="auto"/>
        <w:bottom w:val="none" w:sz="0" w:space="0" w:color="auto"/>
        <w:right w:val="none" w:sz="0" w:space="0" w:color="auto"/>
      </w:divBdr>
    </w:div>
    <w:div w:id="1041980960">
      <w:bodyDiv w:val="1"/>
      <w:marLeft w:val="0"/>
      <w:marRight w:val="0"/>
      <w:marTop w:val="0"/>
      <w:marBottom w:val="0"/>
      <w:divBdr>
        <w:top w:val="none" w:sz="0" w:space="0" w:color="auto"/>
        <w:left w:val="none" w:sz="0" w:space="0" w:color="auto"/>
        <w:bottom w:val="none" w:sz="0" w:space="0" w:color="auto"/>
        <w:right w:val="none" w:sz="0" w:space="0" w:color="auto"/>
      </w:divBdr>
    </w:div>
    <w:div w:id="1053575582">
      <w:bodyDiv w:val="1"/>
      <w:marLeft w:val="0"/>
      <w:marRight w:val="0"/>
      <w:marTop w:val="0"/>
      <w:marBottom w:val="0"/>
      <w:divBdr>
        <w:top w:val="none" w:sz="0" w:space="0" w:color="auto"/>
        <w:left w:val="none" w:sz="0" w:space="0" w:color="auto"/>
        <w:bottom w:val="none" w:sz="0" w:space="0" w:color="auto"/>
        <w:right w:val="none" w:sz="0" w:space="0" w:color="auto"/>
      </w:divBdr>
    </w:div>
    <w:div w:id="1073549534">
      <w:bodyDiv w:val="1"/>
      <w:marLeft w:val="0"/>
      <w:marRight w:val="0"/>
      <w:marTop w:val="0"/>
      <w:marBottom w:val="0"/>
      <w:divBdr>
        <w:top w:val="none" w:sz="0" w:space="0" w:color="auto"/>
        <w:left w:val="none" w:sz="0" w:space="0" w:color="auto"/>
        <w:bottom w:val="none" w:sz="0" w:space="0" w:color="auto"/>
        <w:right w:val="none" w:sz="0" w:space="0" w:color="auto"/>
      </w:divBdr>
    </w:div>
    <w:div w:id="1074738226">
      <w:bodyDiv w:val="1"/>
      <w:marLeft w:val="0"/>
      <w:marRight w:val="0"/>
      <w:marTop w:val="0"/>
      <w:marBottom w:val="0"/>
      <w:divBdr>
        <w:top w:val="none" w:sz="0" w:space="0" w:color="auto"/>
        <w:left w:val="none" w:sz="0" w:space="0" w:color="auto"/>
        <w:bottom w:val="none" w:sz="0" w:space="0" w:color="auto"/>
        <w:right w:val="none" w:sz="0" w:space="0" w:color="auto"/>
      </w:divBdr>
    </w:div>
    <w:div w:id="1085229064">
      <w:bodyDiv w:val="1"/>
      <w:marLeft w:val="0"/>
      <w:marRight w:val="0"/>
      <w:marTop w:val="0"/>
      <w:marBottom w:val="0"/>
      <w:divBdr>
        <w:top w:val="none" w:sz="0" w:space="0" w:color="auto"/>
        <w:left w:val="none" w:sz="0" w:space="0" w:color="auto"/>
        <w:bottom w:val="none" w:sz="0" w:space="0" w:color="auto"/>
        <w:right w:val="none" w:sz="0" w:space="0" w:color="auto"/>
      </w:divBdr>
    </w:div>
    <w:div w:id="1114665733">
      <w:bodyDiv w:val="1"/>
      <w:marLeft w:val="0"/>
      <w:marRight w:val="0"/>
      <w:marTop w:val="0"/>
      <w:marBottom w:val="0"/>
      <w:divBdr>
        <w:top w:val="none" w:sz="0" w:space="0" w:color="auto"/>
        <w:left w:val="none" w:sz="0" w:space="0" w:color="auto"/>
        <w:bottom w:val="none" w:sz="0" w:space="0" w:color="auto"/>
        <w:right w:val="none" w:sz="0" w:space="0" w:color="auto"/>
      </w:divBdr>
    </w:div>
    <w:div w:id="1115444740">
      <w:bodyDiv w:val="1"/>
      <w:marLeft w:val="0"/>
      <w:marRight w:val="0"/>
      <w:marTop w:val="0"/>
      <w:marBottom w:val="0"/>
      <w:divBdr>
        <w:top w:val="none" w:sz="0" w:space="0" w:color="auto"/>
        <w:left w:val="none" w:sz="0" w:space="0" w:color="auto"/>
        <w:bottom w:val="none" w:sz="0" w:space="0" w:color="auto"/>
        <w:right w:val="none" w:sz="0" w:space="0" w:color="auto"/>
      </w:divBdr>
    </w:div>
    <w:div w:id="1119689748">
      <w:bodyDiv w:val="1"/>
      <w:marLeft w:val="0"/>
      <w:marRight w:val="0"/>
      <w:marTop w:val="0"/>
      <w:marBottom w:val="0"/>
      <w:divBdr>
        <w:top w:val="none" w:sz="0" w:space="0" w:color="auto"/>
        <w:left w:val="none" w:sz="0" w:space="0" w:color="auto"/>
        <w:bottom w:val="none" w:sz="0" w:space="0" w:color="auto"/>
        <w:right w:val="none" w:sz="0" w:space="0" w:color="auto"/>
      </w:divBdr>
    </w:div>
    <w:div w:id="1131242045">
      <w:bodyDiv w:val="1"/>
      <w:marLeft w:val="0"/>
      <w:marRight w:val="0"/>
      <w:marTop w:val="0"/>
      <w:marBottom w:val="0"/>
      <w:divBdr>
        <w:top w:val="none" w:sz="0" w:space="0" w:color="auto"/>
        <w:left w:val="none" w:sz="0" w:space="0" w:color="auto"/>
        <w:bottom w:val="none" w:sz="0" w:space="0" w:color="auto"/>
        <w:right w:val="none" w:sz="0" w:space="0" w:color="auto"/>
      </w:divBdr>
    </w:div>
    <w:div w:id="1152063465">
      <w:bodyDiv w:val="1"/>
      <w:marLeft w:val="0"/>
      <w:marRight w:val="0"/>
      <w:marTop w:val="0"/>
      <w:marBottom w:val="0"/>
      <w:divBdr>
        <w:top w:val="none" w:sz="0" w:space="0" w:color="auto"/>
        <w:left w:val="none" w:sz="0" w:space="0" w:color="auto"/>
        <w:bottom w:val="none" w:sz="0" w:space="0" w:color="auto"/>
        <w:right w:val="none" w:sz="0" w:space="0" w:color="auto"/>
      </w:divBdr>
    </w:div>
    <w:div w:id="1153061251">
      <w:bodyDiv w:val="1"/>
      <w:marLeft w:val="0"/>
      <w:marRight w:val="0"/>
      <w:marTop w:val="0"/>
      <w:marBottom w:val="0"/>
      <w:divBdr>
        <w:top w:val="none" w:sz="0" w:space="0" w:color="auto"/>
        <w:left w:val="none" w:sz="0" w:space="0" w:color="auto"/>
        <w:bottom w:val="none" w:sz="0" w:space="0" w:color="auto"/>
        <w:right w:val="none" w:sz="0" w:space="0" w:color="auto"/>
      </w:divBdr>
    </w:div>
    <w:div w:id="1177647930">
      <w:bodyDiv w:val="1"/>
      <w:marLeft w:val="0"/>
      <w:marRight w:val="0"/>
      <w:marTop w:val="0"/>
      <w:marBottom w:val="0"/>
      <w:divBdr>
        <w:top w:val="none" w:sz="0" w:space="0" w:color="auto"/>
        <w:left w:val="none" w:sz="0" w:space="0" w:color="auto"/>
        <w:bottom w:val="none" w:sz="0" w:space="0" w:color="auto"/>
        <w:right w:val="none" w:sz="0" w:space="0" w:color="auto"/>
      </w:divBdr>
    </w:div>
    <w:div w:id="1177964225">
      <w:bodyDiv w:val="1"/>
      <w:marLeft w:val="0"/>
      <w:marRight w:val="0"/>
      <w:marTop w:val="0"/>
      <w:marBottom w:val="0"/>
      <w:divBdr>
        <w:top w:val="none" w:sz="0" w:space="0" w:color="auto"/>
        <w:left w:val="none" w:sz="0" w:space="0" w:color="auto"/>
        <w:bottom w:val="none" w:sz="0" w:space="0" w:color="auto"/>
        <w:right w:val="none" w:sz="0" w:space="0" w:color="auto"/>
      </w:divBdr>
    </w:div>
    <w:div w:id="1221671772">
      <w:bodyDiv w:val="1"/>
      <w:marLeft w:val="0"/>
      <w:marRight w:val="0"/>
      <w:marTop w:val="0"/>
      <w:marBottom w:val="0"/>
      <w:divBdr>
        <w:top w:val="none" w:sz="0" w:space="0" w:color="auto"/>
        <w:left w:val="none" w:sz="0" w:space="0" w:color="auto"/>
        <w:bottom w:val="none" w:sz="0" w:space="0" w:color="auto"/>
        <w:right w:val="none" w:sz="0" w:space="0" w:color="auto"/>
      </w:divBdr>
    </w:div>
    <w:div w:id="1238587343">
      <w:bodyDiv w:val="1"/>
      <w:marLeft w:val="0"/>
      <w:marRight w:val="0"/>
      <w:marTop w:val="0"/>
      <w:marBottom w:val="0"/>
      <w:divBdr>
        <w:top w:val="none" w:sz="0" w:space="0" w:color="auto"/>
        <w:left w:val="none" w:sz="0" w:space="0" w:color="auto"/>
        <w:bottom w:val="none" w:sz="0" w:space="0" w:color="auto"/>
        <w:right w:val="none" w:sz="0" w:space="0" w:color="auto"/>
      </w:divBdr>
    </w:div>
    <w:div w:id="1247769975">
      <w:bodyDiv w:val="1"/>
      <w:marLeft w:val="0"/>
      <w:marRight w:val="0"/>
      <w:marTop w:val="0"/>
      <w:marBottom w:val="0"/>
      <w:divBdr>
        <w:top w:val="none" w:sz="0" w:space="0" w:color="auto"/>
        <w:left w:val="none" w:sz="0" w:space="0" w:color="auto"/>
        <w:bottom w:val="none" w:sz="0" w:space="0" w:color="auto"/>
        <w:right w:val="none" w:sz="0" w:space="0" w:color="auto"/>
      </w:divBdr>
    </w:div>
    <w:div w:id="1255552516">
      <w:bodyDiv w:val="1"/>
      <w:marLeft w:val="0"/>
      <w:marRight w:val="0"/>
      <w:marTop w:val="0"/>
      <w:marBottom w:val="0"/>
      <w:divBdr>
        <w:top w:val="none" w:sz="0" w:space="0" w:color="auto"/>
        <w:left w:val="none" w:sz="0" w:space="0" w:color="auto"/>
        <w:bottom w:val="none" w:sz="0" w:space="0" w:color="auto"/>
        <w:right w:val="none" w:sz="0" w:space="0" w:color="auto"/>
      </w:divBdr>
    </w:div>
    <w:div w:id="1278411496">
      <w:bodyDiv w:val="1"/>
      <w:marLeft w:val="0"/>
      <w:marRight w:val="0"/>
      <w:marTop w:val="0"/>
      <w:marBottom w:val="0"/>
      <w:divBdr>
        <w:top w:val="none" w:sz="0" w:space="0" w:color="auto"/>
        <w:left w:val="none" w:sz="0" w:space="0" w:color="auto"/>
        <w:bottom w:val="none" w:sz="0" w:space="0" w:color="auto"/>
        <w:right w:val="none" w:sz="0" w:space="0" w:color="auto"/>
      </w:divBdr>
    </w:div>
    <w:div w:id="1325401312">
      <w:bodyDiv w:val="1"/>
      <w:marLeft w:val="0"/>
      <w:marRight w:val="0"/>
      <w:marTop w:val="0"/>
      <w:marBottom w:val="0"/>
      <w:divBdr>
        <w:top w:val="none" w:sz="0" w:space="0" w:color="auto"/>
        <w:left w:val="none" w:sz="0" w:space="0" w:color="auto"/>
        <w:bottom w:val="none" w:sz="0" w:space="0" w:color="auto"/>
        <w:right w:val="none" w:sz="0" w:space="0" w:color="auto"/>
      </w:divBdr>
    </w:div>
    <w:div w:id="1338077112">
      <w:bodyDiv w:val="1"/>
      <w:marLeft w:val="0"/>
      <w:marRight w:val="0"/>
      <w:marTop w:val="0"/>
      <w:marBottom w:val="0"/>
      <w:divBdr>
        <w:top w:val="none" w:sz="0" w:space="0" w:color="auto"/>
        <w:left w:val="none" w:sz="0" w:space="0" w:color="auto"/>
        <w:bottom w:val="none" w:sz="0" w:space="0" w:color="auto"/>
        <w:right w:val="none" w:sz="0" w:space="0" w:color="auto"/>
      </w:divBdr>
    </w:div>
    <w:div w:id="1374428298">
      <w:bodyDiv w:val="1"/>
      <w:marLeft w:val="0"/>
      <w:marRight w:val="0"/>
      <w:marTop w:val="0"/>
      <w:marBottom w:val="0"/>
      <w:divBdr>
        <w:top w:val="none" w:sz="0" w:space="0" w:color="auto"/>
        <w:left w:val="none" w:sz="0" w:space="0" w:color="auto"/>
        <w:bottom w:val="none" w:sz="0" w:space="0" w:color="auto"/>
        <w:right w:val="none" w:sz="0" w:space="0" w:color="auto"/>
      </w:divBdr>
    </w:div>
    <w:div w:id="1378166800">
      <w:bodyDiv w:val="1"/>
      <w:marLeft w:val="0"/>
      <w:marRight w:val="0"/>
      <w:marTop w:val="0"/>
      <w:marBottom w:val="0"/>
      <w:divBdr>
        <w:top w:val="none" w:sz="0" w:space="0" w:color="auto"/>
        <w:left w:val="none" w:sz="0" w:space="0" w:color="auto"/>
        <w:bottom w:val="none" w:sz="0" w:space="0" w:color="auto"/>
        <w:right w:val="none" w:sz="0" w:space="0" w:color="auto"/>
      </w:divBdr>
    </w:div>
    <w:div w:id="1394229700">
      <w:bodyDiv w:val="1"/>
      <w:marLeft w:val="0"/>
      <w:marRight w:val="0"/>
      <w:marTop w:val="0"/>
      <w:marBottom w:val="0"/>
      <w:divBdr>
        <w:top w:val="none" w:sz="0" w:space="0" w:color="auto"/>
        <w:left w:val="none" w:sz="0" w:space="0" w:color="auto"/>
        <w:bottom w:val="none" w:sz="0" w:space="0" w:color="auto"/>
        <w:right w:val="none" w:sz="0" w:space="0" w:color="auto"/>
      </w:divBdr>
    </w:div>
    <w:div w:id="1435780784">
      <w:bodyDiv w:val="1"/>
      <w:marLeft w:val="0"/>
      <w:marRight w:val="0"/>
      <w:marTop w:val="0"/>
      <w:marBottom w:val="0"/>
      <w:divBdr>
        <w:top w:val="none" w:sz="0" w:space="0" w:color="auto"/>
        <w:left w:val="none" w:sz="0" w:space="0" w:color="auto"/>
        <w:bottom w:val="none" w:sz="0" w:space="0" w:color="auto"/>
        <w:right w:val="none" w:sz="0" w:space="0" w:color="auto"/>
      </w:divBdr>
    </w:div>
    <w:div w:id="1453748079">
      <w:bodyDiv w:val="1"/>
      <w:marLeft w:val="0"/>
      <w:marRight w:val="0"/>
      <w:marTop w:val="0"/>
      <w:marBottom w:val="0"/>
      <w:divBdr>
        <w:top w:val="none" w:sz="0" w:space="0" w:color="auto"/>
        <w:left w:val="none" w:sz="0" w:space="0" w:color="auto"/>
        <w:bottom w:val="none" w:sz="0" w:space="0" w:color="auto"/>
        <w:right w:val="none" w:sz="0" w:space="0" w:color="auto"/>
      </w:divBdr>
    </w:div>
    <w:div w:id="1458836839">
      <w:bodyDiv w:val="1"/>
      <w:marLeft w:val="0"/>
      <w:marRight w:val="0"/>
      <w:marTop w:val="0"/>
      <w:marBottom w:val="0"/>
      <w:divBdr>
        <w:top w:val="none" w:sz="0" w:space="0" w:color="auto"/>
        <w:left w:val="none" w:sz="0" w:space="0" w:color="auto"/>
        <w:bottom w:val="none" w:sz="0" w:space="0" w:color="auto"/>
        <w:right w:val="none" w:sz="0" w:space="0" w:color="auto"/>
      </w:divBdr>
    </w:div>
    <w:div w:id="1460147479">
      <w:bodyDiv w:val="1"/>
      <w:marLeft w:val="0"/>
      <w:marRight w:val="0"/>
      <w:marTop w:val="0"/>
      <w:marBottom w:val="0"/>
      <w:divBdr>
        <w:top w:val="none" w:sz="0" w:space="0" w:color="auto"/>
        <w:left w:val="none" w:sz="0" w:space="0" w:color="auto"/>
        <w:bottom w:val="none" w:sz="0" w:space="0" w:color="auto"/>
        <w:right w:val="none" w:sz="0" w:space="0" w:color="auto"/>
      </w:divBdr>
    </w:div>
    <w:div w:id="1480851794">
      <w:bodyDiv w:val="1"/>
      <w:marLeft w:val="0"/>
      <w:marRight w:val="0"/>
      <w:marTop w:val="0"/>
      <w:marBottom w:val="0"/>
      <w:divBdr>
        <w:top w:val="none" w:sz="0" w:space="0" w:color="auto"/>
        <w:left w:val="none" w:sz="0" w:space="0" w:color="auto"/>
        <w:bottom w:val="none" w:sz="0" w:space="0" w:color="auto"/>
        <w:right w:val="none" w:sz="0" w:space="0" w:color="auto"/>
      </w:divBdr>
    </w:div>
    <w:div w:id="1489250126">
      <w:bodyDiv w:val="1"/>
      <w:marLeft w:val="0"/>
      <w:marRight w:val="0"/>
      <w:marTop w:val="0"/>
      <w:marBottom w:val="0"/>
      <w:divBdr>
        <w:top w:val="none" w:sz="0" w:space="0" w:color="auto"/>
        <w:left w:val="none" w:sz="0" w:space="0" w:color="auto"/>
        <w:bottom w:val="none" w:sz="0" w:space="0" w:color="auto"/>
        <w:right w:val="none" w:sz="0" w:space="0" w:color="auto"/>
      </w:divBdr>
    </w:div>
    <w:div w:id="1493060182">
      <w:bodyDiv w:val="1"/>
      <w:marLeft w:val="0"/>
      <w:marRight w:val="0"/>
      <w:marTop w:val="0"/>
      <w:marBottom w:val="0"/>
      <w:divBdr>
        <w:top w:val="none" w:sz="0" w:space="0" w:color="auto"/>
        <w:left w:val="none" w:sz="0" w:space="0" w:color="auto"/>
        <w:bottom w:val="none" w:sz="0" w:space="0" w:color="auto"/>
        <w:right w:val="none" w:sz="0" w:space="0" w:color="auto"/>
      </w:divBdr>
    </w:div>
    <w:div w:id="1499731041">
      <w:bodyDiv w:val="1"/>
      <w:marLeft w:val="0"/>
      <w:marRight w:val="0"/>
      <w:marTop w:val="0"/>
      <w:marBottom w:val="0"/>
      <w:divBdr>
        <w:top w:val="none" w:sz="0" w:space="0" w:color="auto"/>
        <w:left w:val="none" w:sz="0" w:space="0" w:color="auto"/>
        <w:bottom w:val="none" w:sz="0" w:space="0" w:color="auto"/>
        <w:right w:val="none" w:sz="0" w:space="0" w:color="auto"/>
      </w:divBdr>
    </w:div>
    <w:div w:id="1530727720">
      <w:bodyDiv w:val="1"/>
      <w:marLeft w:val="0"/>
      <w:marRight w:val="0"/>
      <w:marTop w:val="0"/>
      <w:marBottom w:val="0"/>
      <w:divBdr>
        <w:top w:val="none" w:sz="0" w:space="0" w:color="auto"/>
        <w:left w:val="none" w:sz="0" w:space="0" w:color="auto"/>
        <w:bottom w:val="none" w:sz="0" w:space="0" w:color="auto"/>
        <w:right w:val="none" w:sz="0" w:space="0" w:color="auto"/>
      </w:divBdr>
    </w:div>
    <w:div w:id="1550998087">
      <w:bodyDiv w:val="1"/>
      <w:marLeft w:val="0"/>
      <w:marRight w:val="0"/>
      <w:marTop w:val="0"/>
      <w:marBottom w:val="0"/>
      <w:divBdr>
        <w:top w:val="none" w:sz="0" w:space="0" w:color="auto"/>
        <w:left w:val="none" w:sz="0" w:space="0" w:color="auto"/>
        <w:bottom w:val="none" w:sz="0" w:space="0" w:color="auto"/>
        <w:right w:val="none" w:sz="0" w:space="0" w:color="auto"/>
      </w:divBdr>
    </w:div>
    <w:div w:id="1590194229">
      <w:bodyDiv w:val="1"/>
      <w:marLeft w:val="0"/>
      <w:marRight w:val="0"/>
      <w:marTop w:val="0"/>
      <w:marBottom w:val="0"/>
      <w:divBdr>
        <w:top w:val="none" w:sz="0" w:space="0" w:color="auto"/>
        <w:left w:val="none" w:sz="0" w:space="0" w:color="auto"/>
        <w:bottom w:val="none" w:sz="0" w:space="0" w:color="auto"/>
        <w:right w:val="none" w:sz="0" w:space="0" w:color="auto"/>
      </w:divBdr>
    </w:div>
    <w:div w:id="1616326409">
      <w:bodyDiv w:val="1"/>
      <w:marLeft w:val="0"/>
      <w:marRight w:val="0"/>
      <w:marTop w:val="0"/>
      <w:marBottom w:val="0"/>
      <w:divBdr>
        <w:top w:val="none" w:sz="0" w:space="0" w:color="auto"/>
        <w:left w:val="none" w:sz="0" w:space="0" w:color="auto"/>
        <w:bottom w:val="none" w:sz="0" w:space="0" w:color="auto"/>
        <w:right w:val="none" w:sz="0" w:space="0" w:color="auto"/>
      </w:divBdr>
    </w:div>
    <w:div w:id="1662658072">
      <w:bodyDiv w:val="1"/>
      <w:marLeft w:val="0"/>
      <w:marRight w:val="0"/>
      <w:marTop w:val="0"/>
      <w:marBottom w:val="0"/>
      <w:divBdr>
        <w:top w:val="none" w:sz="0" w:space="0" w:color="auto"/>
        <w:left w:val="none" w:sz="0" w:space="0" w:color="auto"/>
        <w:bottom w:val="none" w:sz="0" w:space="0" w:color="auto"/>
        <w:right w:val="none" w:sz="0" w:space="0" w:color="auto"/>
      </w:divBdr>
    </w:div>
    <w:div w:id="1682320373">
      <w:bodyDiv w:val="1"/>
      <w:marLeft w:val="0"/>
      <w:marRight w:val="0"/>
      <w:marTop w:val="0"/>
      <w:marBottom w:val="0"/>
      <w:divBdr>
        <w:top w:val="none" w:sz="0" w:space="0" w:color="auto"/>
        <w:left w:val="none" w:sz="0" w:space="0" w:color="auto"/>
        <w:bottom w:val="none" w:sz="0" w:space="0" w:color="auto"/>
        <w:right w:val="none" w:sz="0" w:space="0" w:color="auto"/>
      </w:divBdr>
    </w:div>
    <w:div w:id="1682507721">
      <w:bodyDiv w:val="1"/>
      <w:marLeft w:val="0"/>
      <w:marRight w:val="0"/>
      <w:marTop w:val="0"/>
      <w:marBottom w:val="0"/>
      <w:divBdr>
        <w:top w:val="none" w:sz="0" w:space="0" w:color="auto"/>
        <w:left w:val="none" w:sz="0" w:space="0" w:color="auto"/>
        <w:bottom w:val="none" w:sz="0" w:space="0" w:color="auto"/>
        <w:right w:val="none" w:sz="0" w:space="0" w:color="auto"/>
      </w:divBdr>
    </w:div>
    <w:div w:id="1700937286">
      <w:bodyDiv w:val="1"/>
      <w:marLeft w:val="0"/>
      <w:marRight w:val="0"/>
      <w:marTop w:val="0"/>
      <w:marBottom w:val="0"/>
      <w:divBdr>
        <w:top w:val="none" w:sz="0" w:space="0" w:color="auto"/>
        <w:left w:val="none" w:sz="0" w:space="0" w:color="auto"/>
        <w:bottom w:val="none" w:sz="0" w:space="0" w:color="auto"/>
        <w:right w:val="none" w:sz="0" w:space="0" w:color="auto"/>
      </w:divBdr>
    </w:div>
    <w:div w:id="1733652924">
      <w:bodyDiv w:val="1"/>
      <w:marLeft w:val="0"/>
      <w:marRight w:val="0"/>
      <w:marTop w:val="0"/>
      <w:marBottom w:val="0"/>
      <w:divBdr>
        <w:top w:val="none" w:sz="0" w:space="0" w:color="auto"/>
        <w:left w:val="none" w:sz="0" w:space="0" w:color="auto"/>
        <w:bottom w:val="none" w:sz="0" w:space="0" w:color="auto"/>
        <w:right w:val="none" w:sz="0" w:space="0" w:color="auto"/>
      </w:divBdr>
    </w:div>
    <w:div w:id="1797720750">
      <w:bodyDiv w:val="1"/>
      <w:marLeft w:val="0"/>
      <w:marRight w:val="0"/>
      <w:marTop w:val="0"/>
      <w:marBottom w:val="0"/>
      <w:divBdr>
        <w:top w:val="none" w:sz="0" w:space="0" w:color="auto"/>
        <w:left w:val="none" w:sz="0" w:space="0" w:color="auto"/>
        <w:bottom w:val="none" w:sz="0" w:space="0" w:color="auto"/>
        <w:right w:val="none" w:sz="0" w:space="0" w:color="auto"/>
      </w:divBdr>
    </w:div>
    <w:div w:id="1815950321">
      <w:bodyDiv w:val="1"/>
      <w:marLeft w:val="0"/>
      <w:marRight w:val="0"/>
      <w:marTop w:val="0"/>
      <w:marBottom w:val="0"/>
      <w:divBdr>
        <w:top w:val="none" w:sz="0" w:space="0" w:color="auto"/>
        <w:left w:val="none" w:sz="0" w:space="0" w:color="auto"/>
        <w:bottom w:val="none" w:sz="0" w:space="0" w:color="auto"/>
        <w:right w:val="none" w:sz="0" w:space="0" w:color="auto"/>
      </w:divBdr>
    </w:div>
    <w:div w:id="1826313824">
      <w:bodyDiv w:val="1"/>
      <w:marLeft w:val="0"/>
      <w:marRight w:val="0"/>
      <w:marTop w:val="0"/>
      <w:marBottom w:val="0"/>
      <w:divBdr>
        <w:top w:val="none" w:sz="0" w:space="0" w:color="auto"/>
        <w:left w:val="none" w:sz="0" w:space="0" w:color="auto"/>
        <w:bottom w:val="none" w:sz="0" w:space="0" w:color="auto"/>
        <w:right w:val="none" w:sz="0" w:space="0" w:color="auto"/>
      </w:divBdr>
    </w:div>
    <w:div w:id="1827089951">
      <w:bodyDiv w:val="1"/>
      <w:marLeft w:val="0"/>
      <w:marRight w:val="0"/>
      <w:marTop w:val="0"/>
      <w:marBottom w:val="0"/>
      <w:divBdr>
        <w:top w:val="none" w:sz="0" w:space="0" w:color="auto"/>
        <w:left w:val="none" w:sz="0" w:space="0" w:color="auto"/>
        <w:bottom w:val="none" w:sz="0" w:space="0" w:color="auto"/>
        <w:right w:val="none" w:sz="0" w:space="0" w:color="auto"/>
      </w:divBdr>
    </w:div>
    <w:div w:id="1855344155">
      <w:bodyDiv w:val="1"/>
      <w:marLeft w:val="0"/>
      <w:marRight w:val="0"/>
      <w:marTop w:val="0"/>
      <w:marBottom w:val="0"/>
      <w:divBdr>
        <w:top w:val="none" w:sz="0" w:space="0" w:color="auto"/>
        <w:left w:val="none" w:sz="0" w:space="0" w:color="auto"/>
        <w:bottom w:val="none" w:sz="0" w:space="0" w:color="auto"/>
        <w:right w:val="none" w:sz="0" w:space="0" w:color="auto"/>
      </w:divBdr>
    </w:div>
    <w:div w:id="1865170702">
      <w:bodyDiv w:val="1"/>
      <w:marLeft w:val="0"/>
      <w:marRight w:val="0"/>
      <w:marTop w:val="0"/>
      <w:marBottom w:val="0"/>
      <w:divBdr>
        <w:top w:val="none" w:sz="0" w:space="0" w:color="auto"/>
        <w:left w:val="none" w:sz="0" w:space="0" w:color="auto"/>
        <w:bottom w:val="none" w:sz="0" w:space="0" w:color="auto"/>
        <w:right w:val="none" w:sz="0" w:space="0" w:color="auto"/>
      </w:divBdr>
    </w:div>
    <w:div w:id="1868175045">
      <w:bodyDiv w:val="1"/>
      <w:marLeft w:val="0"/>
      <w:marRight w:val="0"/>
      <w:marTop w:val="0"/>
      <w:marBottom w:val="0"/>
      <w:divBdr>
        <w:top w:val="none" w:sz="0" w:space="0" w:color="auto"/>
        <w:left w:val="none" w:sz="0" w:space="0" w:color="auto"/>
        <w:bottom w:val="none" w:sz="0" w:space="0" w:color="auto"/>
        <w:right w:val="none" w:sz="0" w:space="0" w:color="auto"/>
      </w:divBdr>
    </w:div>
    <w:div w:id="1871186556">
      <w:bodyDiv w:val="1"/>
      <w:marLeft w:val="0"/>
      <w:marRight w:val="0"/>
      <w:marTop w:val="0"/>
      <w:marBottom w:val="0"/>
      <w:divBdr>
        <w:top w:val="none" w:sz="0" w:space="0" w:color="auto"/>
        <w:left w:val="none" w:sz="0" w:space="0" w:color="auto"/>
        <w:bottom w:val="none" w:sz="0" w:space="0" w:color="auto"/>
        <w:right w:val="none" w:sz="0" w:space="0" w:color="auto"/>
      </w:divBdr>
    </w:div>
    <w:div w:id="1874731886">
      <w:bodyDiv w:val="1"/>
      <w:marLeft w:val="0"/>
      <w:marRight w:val="0"/>
      <w:marTop w:val="0"/>
      <w:marBottom w:val="0"/>
      <w:divBdr>
        <w:top w:val="none" w:sz="0" w:space="0" w:color="auto"/>
        <w:left w:val="none" w:sz="0" w:space="0" w:color="auto"/>
        <w:bottom w:val="none" w:sz="0" w:space="0" w:color="auto"/>
        <w:right w:val="none" w:sz="0" w:space="0" w:color="auto"/>
      </w:divBdr>
    </w:div>
    <w:div w:id="1889368384">
      <w:bodyDiv w:val="1"/>
      <w:marLeft w:val="0"/>
      <w:marRight w:val="0"/>
      <w:marTop w:val="0"/>
      <w:marBottom w:val="0"/>
      <w:divBdr>
        <w:top w:val="none" w:sz="0" w:space="0" w:color="auto"/>
        <w:left w:val="none" w:sz="0" w:space="0" w:color="auto"/>
        <w:bottom w:val="none" w:sz="0" w:space="0" w:color="auto"/>
        <w:right w:val="none" w:sz="0" w:space="0" w:color="auto"/>
      </w:divBdr>
    </w:div>
    <w:div w:id="1903715650">
      <w:bodyDiv w:val="1"/>
      <w:marLeft w:val="0"/>
      <w:marRight w:val="0"/>
      <w:marTop w:val="0"/>
      <w:marBottom w:val="0"/>
      <w:divBdr>
        <w:top w:val="none" w:sz="0" w:space="0" w:color="auto"/>
        <w:left w:val="none" w:sz="0" w:space="0" w:color="auto"/>
        <w:bottom w:val="none" w:sz="0" w:space="0" w:color="auto"/>
        <w:right w:val="none" w:sz="0" w:space="0" w:color="auto"/>
      </w:divBdr>
    </w:div>
    <w:div w:id="1911571527">
      <w:bodyDiv w:val="1"/>
      <w:marLeft w:val="0"/>
      <w:marRight w:val="0"/>
      <w:marTop w:val="0"/>
      <w:marBottom w:val="0"/>
      <w:divBdr>
        <w:top w:val="none" w:sz="0" w:space="0" w:color="auto"/>
        <w:left w:val="none" w:sz="0" w:space="0" w:color="auto"/>
        <w:bottom w:val="none" w:sz="0" w:space="0" w:color="auto"/>
        <w:right w:val="none" w:sz="0" w:space="0" w:color="auto"/>
      </w:divBdr>
    </w:div>
    <w:div w:id="1953584114">
      <w:bodyDiv w:val="1"/>
      <w:marLeft w:val="0"/>
      <w:marRight w:val="0"/>
      <w:marTop w:val="0"/>
      <w:marBottom w:val="0"/>
      <w:divBdr>
        <w:top w:val="none" w:sz="0" w:space="0" w:color="auto"/>
        <w:left w:val="none" w:sz="0" w:space="0" w:color="auto"/>
        <w:bottom w:val="none" w:sz="0" w:space="0" w:color="auto"/>
        <w:right w:val="none" w:sz="0" w:space="0" w:color="auto"/>
      </w:divBdr>
    </w:div>
    <w:div w:id="1964186151">
      <w:bodyDiv w:val="1"/>
      <w:marLeft w:val="0"/>
      <w:marRight w:val="0"/>
      <w:marTop w:val="0"/>
      <w:marBottom w:val="0"/>
      <w:divBdr>
        <w:top w:val="none" w:sz="0" w:space="0" w:color="auto"/>
        <w:left w:val="none" w:sz="0" w:space="0" w:color="auto"/>
        <w:bottom w:val="none" w:sz="0" w:space="0" w:color="auto"/>
        <w:right w:val="none" w:sz="0" w:space="0" w:color="auto"/>
      </w:divBdr>
    </w:div>
    <w:div w:id="1965843542">
      <w:bodyDiv w:val="1"/>
      <w:marLeft w:val="0"/>
      <w:marRight w:val="0"/>
      <w:marTop w:val="0"/>
      <w:marBottom w:val="0"/>
      <w:divBdr>
        <w:top w:val="none" w:sz="0" w:space="0" w:color="auto"/>
        <w:left w:val="none" w:sz="0" w:space="0" w:color="auto"/>
        <w:bottom w:val="none" w:sz="0" w:space="0" w:color="auto"/>
        <w:right w:val="none" w:sz="0" w:space="0" w:color="auto"/>
      </w:divBdr>
    </w:div>
    <w:div w:id="2003730021">
      <w:bodyDiv w:val="1"/>
      <w:marLeft w:val="0"/>
      <w:marRight w:val="0"/>
      <w:marTop w:val="0"/>
      <w:marBottom w:val="0"/>
      <w:divBdr>
        <w:top w:val="none" w:sz="0" w:space="0" w:color="auto"/>
        <w:left w:val="none" w:sz="0" w:space="0" w:color="auto"/>
        <w:bottom w:val="none" w:sz="0" w:space="0" w:color="auto"/>
        <w:right w:val="none" w:sz="0" w:space="0" w:color="auto"/>
      </w:divBdr>
    </w:div>
    <w:div w:id="2016301314">
      <w:bodyDiv w:val="1"/>
      <w:marLeft w:val="0"/>
      <w:marRight w:val="0"/>
      <w:marTop w:val="0"/>
      <w:marBottom w:val="0"/>
      <w:divBdr>
        <w:top w:val="none" w:sz="0" w:space="0" w:color="auto"/>
        <w:left w:val="none" w:sz="0" w:space="0" w:color="auto"/>
        <w:bottom w:val="none" w:sz="0" w:space="0" w:color="auto"/>
        <w:right w:val="none" w:sz="0" w:space="0" w:color="auto"/>
      </w:divBdr>
    </w:div>
    <w:div w:id="2049598480">
      <w:bodyDiv w:val="1"/>
      <w:marLeft w:val="0"/>
      <w:marRight w:val="0"/>
      <w:marTop w:val="0"/>
      <w:marBottom w:val="0"/>
      <w:divBdr>
        <w:top w:val="none" w:sz="0" w:space="0" w:color="auto"/>
        <w:left w:val="none" w:sz="0" w:space="0" w:color="auto"/>
        <w:bottom w:val="none" w:sz="0" w:space="0" w:color="auto"/>
        <w:right w:val="none" w:sz="0" w:space="0" w:color="auto"/>
      </w:divBdr>
    </w:div>
    <w:div w:id="2058358637">
      <w:bodyDiv w:val="1"/>
      <w:marLeft w:val="0"/>
      <w:marRight w:val="0"/>
      <w:marTop w:val="0"/>
      <w:marBottom w:val="0"/>
      <w:divBdr>
        <w:top w:val="none" w:sz="0" w:space="0" w:color="auto"/>
        <w:left w:val="none" w:sz="0" w:space="0" w:color="auto"/>
        <w:bottom w:val="none" w:sz="0" w:space="0" w:color="auto"/>
        <w:right w:val="none" w:sz="0" w:space="0" w:color="auto"/>
      </w:divBdr>
    </w:div>
    <w:div w:id="2109305861">
      <w:bodyDiv w:val="1"/>
      <w:marLeft w:val="0"/>
      <w:marRight w:val="0"/>
      <w:marTop w:val="0"/>
      <w:marBottom w:val="0"/>
      <w:divBdr>
        <w:top w:val="none" w:sz="0" w:space="0" w:color="auto"/>
        <w:left w:val="none" w:sz="0" w:space="0" w:color="auto"/>
        <w:bottom w:val="none" w:sz="0" w:space="0" w:color="auto"/>
        <w:right w:val="none" w:sz="0" w:space="0" w:color="auto"/>
      </w:divBdr>
    </w:div>
    <w:div w:id="2118255331">
      <w:bodyDiv w:val="1"/>
      <w:marLeft w:val="0"/>
      <w:marRight w:val="0"/>
      <w:marTop w:val="0"/>
      <w:marBottom w:val="0"/>
      <w:divBdr>
        <w:top w:val="none" w:sz="0" w:space="0" w:color="auto"/>
        <w:left w:val="none" w:sz="0" w:space="0" w:color="auto"/>
        <w:bottom w:val="none" w:sz="0" w:space="0" w:color="auto"/>
        <w:right w:val="none" w:sz="0" w:space="0" w:color="auto"/>
      </w:divBdr>
    </w:div>
    <w:div w:id="2130469735">
      <w:bodyDiv w:val="1"/>
      <w:marLeft w:val="0"/>
      <w:marRight w:val="0"/>
      <w:marTop w:val="0"/>
      <w:marBottom w:val="0"/>
      <w:divBdr>
        <w:top w:val="none" w:sz="0" w:space="0" w:color="auto"/>
        <w:left w:val="none" w:sz="0" w:space="0" w:color="auto"/>
        <w:bottom w:val="none" w:sz="0" w:space="0" w:color="auto"/>
        <w:right w:val="none" w:sz="0" w:space="0" w:color="auto"/>
      </w:divBdr>
    </w:div>
    <w:div w:id="213636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ueil.mairie@sully45.co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accueil.mairie@sully45.comg" TargetMode="External"/><Relationship Id="rId20" Type="http://schemas.openxmlformats.org/officeDocument/2006/relationships/hyperlink" Target="http://www.cadastr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EEE309-4687-4F4D-9F65-2D463A2BC28A}">
  <we:reference id="wa102919515" version="1.3.1.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2D57C-07DA-49E6-97DF-13B208D5E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4342</Words>
  <Characters>23884</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SOMMAIRE</vt:lpstr>
    </vt:vector>
  </TitlesOfParts>
  <Company/>
  <LinksUpToDate>false</LinksUpToDate>
  <CharactersWithSpaces>28170</CharactersWithSpaces>
  <SharedDoc>false</SharedDoc>
  <HLinks>
    <vt:vector size="72" baseType="variant">
      <vt:variant>
        <vt:i4>1703994</vt:i4>
      </vt:variant>
      <vt:variant>
        <vt:i4>68</vt:i4>
      </vt:variant>
      <vt:variant>
        <vt:i4>0</vt:i4>
      </vt:variant>
      <vt:variant>
        <vt:i4>5</vt:i4>
      </vt:variant>
      <vt:variant>
        <vt:lpwstr/>
      </vt:variant>
      <vt:variant>
        <vt:lpwstr>_Toc329249443</vt:lpwstr>
      </vt:variant>
      <vt:variant>
        <vt:i4>1703994</vt:i4>
      </vt:variant>
      <vt:variant>
        <vt:i4>62</vt:i4>
      </vt:variant>
      <vt:variant>
        <vt:i4>0</vt:i4>
      </vt:variant>
      <vt:variant>
        <vt:i4>5</vt:i4>
      </vt:variant>
      <vt:variant>
        <vt:lpwstr/>
      </vt:variant>
      <vt:variant>
        <vt:lpwstr>_Toc329249442</vt:lpwstr>
      </vt:variant>
      <vt:variant>
        <vt:i4>1703994</vt:i4>
      </vt:variant>
      <vt:variant>
        <vt:i4>56</vt:i4>
      </vt:variant>
      <vt:variant>
        <vt:i4>0</vt:i4>
      </vt:variant>
      <vt:variant>
        <vt:i4>5</vt:i4>
      </vt:variant>
      <vt:variant>
        <vt:lpwstr/>
      </vt:variant>
      <vt:variant>
        <vt:lpwstr>_Toc329249441</vt:lpwstr>
      </vt:variant>
      <vt:variant>
        <vt:i4>1703994</vt:i4>
      </vt:variant>
      <vt:variant>
        <vt:i4>50</vt:i4>
      </vt:variant>
      <vt:variant>
        <vt:i4>0</vt:i4>
      </vt:variant>
      <vt:variant>
        <vt:i4>5</vt:i4>
      </vt:variant>
      <vt:variant>
        <vt:lpwstr/>
      </vt:variant>
      <vt:variant>
        <vt:lpwstr>_Toc329249440</vt:lpwstr>
      </vt:variant>
      <vt:variant>
        <vt:i4>1900602</vt:i4>
      </vt:variant>
      <vt:variant>
        <vt:i4>44</vt:i4>
      </vt:variant>
      <vt:variant>
        <vt:i4>0</vt:i4>
      </vt:variant>
      <vt:variant>
        <vt:i4>5</vt:i4>
      </vt:variant>
      <vt:variant>
        <vt:lpwstr/>
      </vt:variant>
      <vt:variant>
        <vt:lpwstr>_Toc329249439</vt:lpwstr>
      </vt:variant>
      <vt:variant>
        <vt:i4>1900602</vt:i4>
      </vt:variant>
      <vt:variant>
        <vt:i4>38</vt:i4>
      </vt:variant>
      <vt:variant>
        <vt:i4>0</vt:i4>
      </vt:variant>
      <vt:variant>
        <vt:i4>5</vt:i4>
      </vt:variant>
      <vt:variant>
        <vt:lpwstr/>
      </vt:variant>
      <vt:variant>
        <vt:lpwstr>_Toc329249438</vt:lpwstr>
      </vt:variant>
      <vt:variant>
        <vt:i4>1900602</vt:i4>
      </vt:variant>
      <vt:variant>
        <vt:i4>32</vt:i4>
      </vt:variant>
      <vt:variant>
        <vt:i4>0</vt:i4>
      </vt:variant>
      <vt:variant>
        <vt:i4>5</vt:i4>
      </vt:variant>
      <vt:variant>
        <vt:lpwstr/>
      </vt:variant>
      <vt:variant>
        <vt:lpwstr>_Toc329249437</vt:lpwstr>
      </vt:variant>
      <vt:variant>
        <vt:i4>1900602</vt:i4>
      </vt:variant>
      <vt:variant>
        <vt:i4>26</vt:i4>
      </vt:variant>
      <vt:variant>
        <vt:i4>0</vt:i4>
      </vt:variant>
      <vt:variant>
        <vt:i4>5</vt:i4>
      </vt:variant>
      <vt:variant>
        <vt:lpwstr/>
      </vt:variant>
      <vt:variant>
        <vt:lpwstr>_Toc329249436</vt:lpwstr>
      </vt:variant>
      <vt:variant>
        <vt:i4>1900602</vt:i4>
      </vt:variant>
      <vt:variant>
        <vt:i4>20</vt:i4>
      </vt:variant>
      <vt:variant>
        <vt:i4>0</vt:i4>
      </vt:variant>
      <vt:variant>
        <vt:i4>5</vt:i4>
      </vt:variant>
      <vt:variant>
        <vt:lpwstr/>
      </vt:variant>
      <vt:variant>
        <vt:lpwstr>_Toc329249435</vt:lpwstr>
      </vt:variant>
      <vt:variant>
        <vt:i4>1900602</vt:i4>
      </vt:variant>
      <vt:variant>
        <vt:i4>14</vt:i4>
      </vt:variant>
      <vt:variant>
        <vt:i4>0</vt:i4>
      </vt:variant>
      <vt:variant>
        <vt:i4>5</vt:i4>
      </vt:variant>
      <vt:variant>
        <vt:lpwstr/>
      </vt:variant>
      <vt:variant>
        <vt:lpwstr>_Toc329249434</vt:lpwstr>
      </vt:variant>
      <vt:variant>
        <vt:i4>1900602</vt:i4>
      </vt:variant>
      <vt:variant>
        <vt:i4>8</vt:i4>
      </vt:variant>
      <vt:variant>
        <vt:i4>0</vt:i4>
      </vt:variant>
      <vt:variant>
        <vt:i4>5</vt:i4>
      </vt:variant>
      <vt:variant>
        <vt:lpwstr/>
      </vt:variant>
      <vt:variant>
        <vt:lpwstr>_Toc329249433</vt:lpwstr>
      </vt:variant>
      <vt:variant>
        <vt:i4>1900602</vt:i4>
      </vt:variant>
      <vt:variant>
        <vt:i4>2</vt:i4>
      </vt:variant>
      <vt:variant>
        <vt:i4>0</vt:i4>
      </vt:variant>
      <vt:variant>
        <vt:i4>5</vt:i4>
      </vt:variant>
      <vt:variant>
        <vt:lpwstr/>
      </vt:variant>
      <vt:variant>
        <vt:lpwstr>_Toc329249432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Christophe MILOT</dc:creator>
  <cp:keywords/>
  <dc:description/>
  <cp:lastModifiedBy>Nicolas MAULARD</cp:lastModifiedBy>
  <cp:revision>3</cp:revision>
  <cp:lastPrinted>2022-04-05T08:47:00Z</cp:lastPrinted>
  <dcterms:created xsi:type="dcterms:W3CDTF">2022-05-03T14:47:00Z</dcterms:created>
  <dcterms:modified xsi:type="dcterms:W3CDTF">2022-05-03T14:49:00Z</dcterms:modified>
</cp:coreProperties>
</file>